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A27" w:rsidRPr="007C07F1" w:rsidRDefault="00440A27" w:rsidP="00440A27">
      <w:pPr>
        <w:spacing w:after="0" w:line="360" w:lineRule="auto"/>
        <w:jc w:val="both"/>
        <w:rPr>
          <w:rFonts w:ascii="Palatino Linotype" w:hAnsi="Palatino Linotype" w:cs="Arial"/>
          <w:b/>
          <w:sz w:val="24"/>
          <w:szCs w:val="24"/>
          <w:lang w:val="es-MX"/>
        </w:rPr>
      </w:pPr>
      <w:r w:rsidRPr="007C07F1">
        <w:rPr>
          <w:rFonts w:ascii="Palatino Linotype" w:hAnsi="Palatino Linotype" w:cs="Arial"/>
          <w:b/>
          <w:sz w:val="24"/>
          <w:szCs w:val="24"/>
          <w:lang w:val="es-MX"/>
        </w:rPr>
        <w:t>VOTO PARTICULAR DEL COMISIONADO JOSÉ GUADALUPE LUNA HERNÁNDEZ DEL RECURSO DE REVISIÓN 02240/INFOEM/IP/RR/2018.</w:t>
      </w:r>
    </w:p>
    <w:p w:rsidR="00440A27" w:rsidRPr="007C07F1" w:rsidRDefault="00440A27" w:rsidP="00440A27">
      <w:pPr>
        <w:spacing w:after="0" w:line="360" w:lineRule="auto"/>
        <w:jc w:val="both"/>
        <w:rPr>
          <w:rFonts w:ascii="Palatino Linotype" w:hAnsi="Palatino Linotype" w:cs="Arial"/>
          <w:sz w:val="24"/>
          <w:szCs w:val="24"/>
          <w:lang w:val="es-MX"/>
        </w:rPr>
      </w:pPr>
    </w:p>
    <w:p w:rsidR="00440A27" w:rsidRPr="007C07F1" w:rsidRDefault="00440A27" w:rsidP="00440A27">
      <w:pPr>
        <w:spacing w:after="0" w:line="360" w:lineRule="auto"/>
        <w:jc w:val="both"/>
        <w:rPr>
          <w:rFonts w:ascii="Palatino Linotype" w:hAnsi="Palatino Linotype" w:cs="Arial"/>
          <w:b/>
          <w:sz w:val="24"/>
          <w:szCs w:val="24"/>
          <w:lang w:val="es-MX"/>
        </w:rPr>
      </w:pPr>
      <w:r w:rsidRPr="007C07F1">
        <w:rPr>
          <w:rFonts w:ascii="Palatino Linotype" w:hAnsi="Palatino Linotype" w:cs="Arial"/>
          <w:b/>
          <w:sz w:val="24"/>
          <w:szCs w:val="24"/>
          <w:lang w:val="es-MX"/>
        </w:rPr>
        <w:t>Líneas argumentativas:</w:t>
      </w:r>
    </w:p>
    <w:p w:rsidR="00BA47AC" w:rsidRPr="007C07F1" w:rsidRDefault="00BA47AC" w:rsidP="00440A27">
      <w:pPr>
        <w:spacing w:after="0" w:line="360" w:lineRule="auto"/>
        <w:jc w:val="both"/>
        <w:rPr>
          <w:rFonts w:ascii="Palatino Linotype" w:hAnsi="Palatino Linotype" w:cs="Arial"/>
          <w:b/>
          <w:sz w:val="24"/>
          <w:szCs w:val="24"/>
          <w:lang w:val="es-MX"/>
        </w:rPr>
      </w:pPr>
    </w:p>
    <w:p w:rsidR="00440A27" w:rsidRPr="007C07F1" w:rsidRDefault="00440A27" w:rsidP="00440A27">
      <w:pPr>
        <w:spacing w:after="0" w:line="360" w:lineRule="auto"/>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Es facultad de este Órgano Garante </w:t>
      </w:r>
      <w:r w:rsidR="00156E93" w:rsidRPr="007C07F1">
        <w:rPr>
          <w:rFonts w:ascii="Palatino Linotype" w:hAnsi="Palatino Linotype" w:cs="Arial"/>
          <w:sz w:val="24"/>
          <w:szCs w:val="24"/>
          <w:lang w:val="es-MX"/>
        </w:rPr>
        <w:t xml:space="preserve">el </w:t>
      </w:r>
      <w:r w:rsidR="00AC40AB" w:rsidRPr="007C07F1">
        <w:rPr>
          <w:rFonts w:ascii="Palatino Linotype" w:hAnsi="Palatino Linotype" w:cs="Arial"/>
          <w:sz w:val="24"/>
          <w:szCs w:val="24"/>
          <w:lang w:val="es-MX"/>
        </w:rPr>
        <w:t>poder orientar a los particulares cuando el Sujeto Obligado no lo haya realizado en el momento</w:t>
      </w:r>
      <w:r w:rsidR="00156E93" w:rsidRPr="007C07F1">
        <w:rPr>
          <w:rFonts w:ascii="Palatino Linotype" w:hAnsi="Palatino Linotype" w:cs="Arial"/>
          <w:sz w:val="24"/>
          <w:szCs w:val="24"/>
          <w:lang w:val="es-MX"/>
        </w:rPr>
        <w:t xml:space="preserve"> procesal</w:t>
      </w:r>
      <w:r w:rsidR="00AC40AB" w:rsidRPr="007C07F1">
        <w:rPr>
          <w:rFonts w:ascii="Palatino Linotype" w:hAnsi="Palatino Linotype" w:cs="Arial"/>
          <w:sz w:val="24"/>
          <w:szCs w:val="24"/>
          <w:lang w:val="es-MX"/>
        </w:rPr>
        <w:t xml:space="preserve"> oportuno. </w:t>
      </w:r>
    </w:p>
    <w:p w:rsidR="00440A27" w:rsidRPr="007C07F1" w:rsidRDefault="00440A27" w:rsidP="00440A27">
      <w:pPr>
        <w:spacing w:after="0" w:line="240" w:lineRule="auto"/>
        <w:jc w:val="both"/>
        <w:rPr>
          <w:rFonts w:ascii="Palatino Linotype" w:hAnsi="Palatino Linotype" w:cs="Arial"/>
          <w:sz w:val="24"/>
          <w:szCs w:val="24"/>
          <w:lang w:val="es-MX"/>
        </w:rPr>
      </w:pPr>
    </w:p>
    <w:p w:rsidR="00440A27" w:rsidRPr="007C07F1" w:rsidRDefault="00440A27" w:rsidP="00440A27">
      <w:pPr>
        <w:spacing w:after="0" w:line="360" w:lineRule="auto"/>
        <w:jc w:val="both"/>
        <w:rPr>
          <w:rFonts w:ascii="Palatino Linotype" w:hAnsi="Palatino Linotype" w:cs="Arial"/>
          <w:sz w:val="24"/>
          <w:szCs w:val="24"/>
          <w:lang w:val="es-MX"/>
        </w:rPr>
      </w:pPr>
      <w:r w:rsidRPr="007C07F1">
        <w:rPr>
          <w:rFonts w:ascii="Palatino Linotype" w:hAnsi="Palatino Linotype" w:cs="Arial"/>
          <w:sz w:val="24"/>
          <w:szCs w:val="24"/>
          <w:lang w:val="es-MX"/>
        </w:rPr>
        <w:t>La falta de impugnación respecto al resto de los requerimientos que no fueron manifestados en el recurso de revisión, no debe entenderse como actos consentidos.</w:t>
      </w:r>
    </w:p>
    <w:p w:rsidR="00440A27" w:rsidRPr="007C07F1" w:rsidRDefault="00440A27" w:rsidP="00440A27">
      <w:pPr>
        <w:spacing w:after="0" w:line="240" w:lineRule="auto"/>
        <w:jc w:val="both"/>
        <w:rPr>
          <w:rFonts w:ascii="Palatino Linotype" w:hAnsi="Palatino Linotype" w:cs="Arial"/>
          <w:sz w:val="24"/>
          <w:szCs w:val="24"/>
          <w:lang w:val="es-MX"/>
        </w:rPr>
      </w:pPr>
    </w:p>
    <w:p w:rsidR="00440A27" w:rsidRPr="007C07F1" w:rsidRDefault="00440A27" w:rsidP="00440A27">
      <w:pPr>
        <w:spacing w:after="0" w:line="360" w:lineRule="auto"/>
        <w:jc w:val="both"/>
        <w:rPr>
          <w:rFonts w:ascii="Palatino Linotype" w:hAnsi="Palatino Linotype" w:cs="Arial"/>
          <w:sz w:val="24"/>
          <w:szCs w:val="24"/>
          <w:lang w:val="es-MX"/>
        </w:rPr>
      </w:pPr>
      <w:r w:rsidRPr="007C07F1">
        <w:rPr>
          <w:rFonts w:ascii="Palatino Linotype" w:hAnsi="Palatino Linotype" w:cs="Arial"/>
          <w:sz w:val="24"/>
          <w:szCs w:val="24"/>
          <w:lang w:val="es-MX"/>
        </w:rPr>
        <w:t>La figura de actos consentidos no debe ser invocada en el derecho humano fundamental de acceder a la información pública gubernamental.</w:t>
      </w:r>
    </w:p>
    <w:p w:rsidR="00440A27" w:rsidRPr="007C07F1" w:rsidRDefault="00440A27" w:rsidP="00440A27">
      <w:pPr>
        <w:spacing w:after="0" w:line="240" w:lineRule="auto"/>
        <w:jc w:val="both"/>
        <w:rPr>
          <w:rFonts w:ascii="Palatino Linotype" w:hAnsi="Palatino Linotype" w:cs="Arial"/>
          <w:sz w:val="24"/>
          <w:szCs w:val="24"/>
          <w:lang w:val="es-MX"/>
        </w:rPr>
      </w:pPr>
    </w:p>
    <w:p w:rsidR="00440A27" w:rsidRPr="007C07F1" w:rsidRDefault="00440A27" w:rsidP="00440A27">
      <w:pPr>
        <w:spacing w:after="0" w:line="360" w:lineRule="auto"/>
        <w:jc w:val="both"/>
        <w:rPr>
          <w:rFonts w:ascii="Palatino Linotype" w:hAnsi="Palatino Linotype" w:cs="Arial"/>
          <w:sz w:val="24"/>
          <w:szCs w:val="24"/>
          <w:lang w:val="es-MX"/>
        </w:rPr>
      </w:pPr>
      <w:r w:rsidRPr="007C07F1">
        <w:rPr>
          <w:rFonts w:ascii="Palatino Linotype" w:hAnsi="Palatino Linotype" w:cs="Arial"/>
          <w:sz w:val="24"/>
          <w:szCs w:val="24"/>
          <w:lang w:val="es-MX"/>
        </w:rPr>
        <w:t>El Órgano Garante del derecho de acceso a la información pública no debe imponerles las cargas formales del proceso jurisdiccional a los particulares.</w:t>
      </w:r>
    </w:p>
    <w:p w:rsidR="00440A27" w:rsidRPr="007C07F1" w:rsidRDefault="00440A27" w:rsidP="00440A27">
      <w:pPr>
        <w:spacing w:after="0" w:line="240" w:lineRule="auto"/>
        <w:jc w:val="both"/>
        <w:rPr>
          <w:rFonts w:ascii="Palatino Linotype" w:hAnsi="Palatino Linotype" w:cs="Arial"/>
          <w:sz w:val="24"/>
          <w:szCs w:val="24"/>
          <w:lang w:val="es-MX"/>
        </w:rPr>
      </w:pPr>
    </w:p>
    <w:p w:rsidR="00440A27" w:rsidRPr="007C07F1" w:rsidRDefault="00440A27" w:rsidP="00440A27">
      <w:pPr>
        <w:spacing w:after="0" w:line="360" w:lineRule="auto"/>
        <w:jc w:val="both"/>
        <w:rPr>
          <w:rFonts w:ascii="Palatino Linotype" w:hAnsi="Palatino Linotype" w:cs="Arial"/>
          <w:sz w:val="24"/>
          <w:szCs w:val="24"/>
          <w:lang w:val="es-MX"/>
        </w:rPr>
      </w:pPr>
      <w:r w:rsidRPr="007C07F1">
        <w:rPr>
          <w:rFonts w:ascii="Palatino Linotype" w:hAnsi="Palatino Linotype" w:cs="Arial"/>
          <w:sz w:val="24"/>
          <w:szCs w:val="24"/>
          <w:lang w:val="es-MX"/>
        </w:rPr>
        <w:t>Lo que este Órgano Garante realice en materia de suplencia de la queja no afecta la igualdad de las partes sino procura el cumplimiento de los deberes de protección del derecho humano.</w:t>
      </w:r>
    </w:p>
    <w:p w:rsidR="00440A27" w:rsidRPr="007C07F1" w:rsidRDefault="00440A27" w:rsidP="00440A27">
      <w:pPr>
        <w:spacing w:after="0" w:line="240" w:lineRule="auto"/>
        <w:jc w:val="both"/>
        <w:rPr>
          <w:rFonts w:ascii="Palatino Linotype" w:hAnsi="Palatino Linotype" w:cs="Arial"/>
          <w:sz w:val="24"/>
          <w:szCs w:val="24"/>
          <w:lang w:val="es-MX"/>
        </w:rPr>
      </w:pPr>
    </w:p>
    <w:p w:rsidR="00440A27" w:rsidRPr="007C07F1" w:rsidRDefault="00440A27" w:rsidP="00440A27">
      <w:pPr>
        <w:spacing w:after="0" w:line="360" w:lineRule="auto"/>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Restringir el derecho de acceso a la información pública del particular al no ordenar </w:t>
      </w:r>
      <w:proofErr w:type="gramStart"/>
      <w:r w:rsidRPr="007C07F1">
        <w:rPr>
          <w:rFonts w:ascii="Palatino Linotype" w:hAnsi="Palatino Linotype" w:cs="Arial"/>
          <w:sz w:val="24"/>
          <w:szCs w:val="24"/>
          <w:lang w:val="es-MX"/>
        </w:rPr>
        <w:t>la</w:t>
      </w:r>
      <w:proofErr w:type="gramEnd"/>
      <w:r w:rsidRPr="007C07F1">
        <w:rPr>
          <w:rFonts w:ascii="Palatino Linotype" w:hAnsi="Palatino Linotype" w:cs="Arial"/>
          <w:sz w:val="24"/>
          <w:szCs w:val="24"/>
          <w:lang w:val="es-MX"/>
        </w:rPr>
        <w:t xml:space="preserve"> información solicitada por no impugnar la falta de entrega de los documentos </w:t>
      </w:r>
      <w:r w:rsidRPr="007C07F1">
        <w:rPr>
          <w:rFonts w:ascii="Palatino Linotype" w:hAnsi="Palatino Linotype" w:cs="Arial"/>
          <w:sz w:val="24"/>
          <w:szCs w:val="24"/>
          <w:lang w:val="es-MX"/>
        </w:rPr>
        <w:lastRenderedPageBreak/>
        <w:t>solicitados, debilita la efectividad de la  garantía de este derecho humano al hacerla depender de un hecho desconocido.</w:t>
      </w:r>
    </w:p>
    <w:p w:rsidR="00440A27" w:rsidRPr="007C07F1" w:rsidRDefault="00440A27" w:rsidP="00440A27">
      <w:pPr>
        <w:spacing w:after="0" w:line="360" w:lineRule="auto"/>
        <w:jc w:val="both"/>
        <w:rPr>
          <w:rFonts w:ascii="Palatino Linotype" w:hAnsi="Palatino Linotype" w:cs="Arial"/>
          <w:sz w:val="24"/>
          <w:szCs w:val="24"/>
          <w:lang w:val="es-MX"/>
        </w:rPr>
      </w:pPr>
    </w:p>
    <w:p w:rsidR="00440A27" w:rsidRPr="007C07F1" w:rsidRDefault="00440A27" w:rsidP="00440A27">
      <w:pPr>
        <w:spacing w:after="0" w:line="360" w:lineRule="auto"/>
        <w:jc w:val="both"/>
        <w:rPr>
          <w:rFonts w:ascii="Palatino Linotype" w:hAnsi="Palatino Linotype" w:cs="Arial"/>
          <w:sz w:val="24"/>
          <w:szCs w:val="24"/>
          <w:lang w:val="es-MX"/>
        </w:rPr>
      </w:pPr>
      <w:r w:rsidRPr="007C07F1">
        <w:rPr>
          <w:rFonts w:ascii="Palatino Linotype" w:hAnsi="Palatino Linotype" w:cs="Arial"/>
          <w:sz w:val="24"/>
          <w:szCs w:val="24"/>
          <w:lang w:val="es-MX"/>
        </w:rPr>
        <w:t>Los órganos del Estado, tienen el deber de cumplir sus atribuciones, de prevenir violaciones a los derechos fundamentales.</w:t>
      </w:r>
    </w:p>
    <w:p w:rsidR="00440A27" w:rsidRPr="007C07F1" w:rsidRDefault="00440A27" w:rsidP="00440A27">
      <w:pPr>
        <w:spacing w:after="0" w:line="360" w:lineRule="auto"/>
        <w:jc w:val="both"/>
        <w:rPr>
          <w:rFonts w:ascii="Palatino Linotype" w:hAnsi="Palatino Linotype" w:cs="Arial"/>
          <w:sz w:val="24"/>
          <w:szCs w:val="24"/>
          <w:lang w:val="es-MX"/>
        </w:rPr>
      </w:pPr>
    </w:p>
    <w:p w:rsidR="00440A27" w:rsidRPr="007C07F1" w:rsidRDefault="00440A27" w:rsidP="00440A27">
      <w:pPr>
        <w:spacing w:after="0" w:line="360" w:lineRule="auto"/>
        <w:jc w:val="both"/>
        <w:rPr>
          <w:rFonts w:ascii="Palatino Linotype" w:hAnsi="Palatino Linotype" w:cs="Arial"/>
          <w:sz w:val="24"/>
          <w:szCs w:val="24"/>
          <w:lang w:val="es-MX"/>
        </w:rPr>
      </w:pPr>
      <w:r w:rsidRPr="007C07F1">
        <w:rPr>
          <w:rFonts w:ascii="Palatino Linotype" w:hAnsi="Palatino Linotype" w:cs="Arial"/>
          <w:b/>
          <w:sz w:val="24"/>
          <w:szCs w:val="24"/>
          <w:lang w:val="es-MX"/>
        </w:rPr>
        <w:t>Índice</w:t>
      </w:r>
    </w:p>
    <w:sdt>
      <w:sdtPr>
        <w:rPr>
          <w:rFonts w:ascii="Palatino Linotype" w:hAnsi="Palatino Linotype"/>
        </w:rPr>
        <w:id w:val="-1628690016"/>
        <w:docPartObj>
          <w:docPartGallery w:val="Table of Contents"/>
          <w:docPartUnique/>
        </w:docPartObj>
      </w:sdtPr>
      <w:sdtEndPr>
        <w:rPr>
          <w:b/>
          <w:bCs/>
        </w:rPr>
      </w:sdtEndPr>
      <w:sdtContent>
        <w:p w:rsidR="00440A27" w:rsidRPr="007C07F1" w:rsidRDefault="00440A27" w:rsidP="00440A27">
          <w:pPr>
            <w:keepNext/>
            <w:keepLines/>
            <w:spacing w:before="240" w:after="0" w:line="360" w:lineRule="auto"/>
            <w:rPr>
              <w:rFonts w:ascii="Palatino Linotype" w:eastAsiaTheme="majorEastAsia" w:hAnsi="Palatino Linotype" w:cstheme="majorBidi"/>
              <w:color w:val="2E74B5" w:themeColor="accent1" w:themeShade="BF"/>
              <w:sz w:val="32"/>
              <w:szCs w:val="32"/>
              <w:lang w:val="es-MX" w:eastAsia="es-MX"/>
            </w:rPr>
          </w:pPr>
        </w:p>
        <w:p w:rsidR="007C07F1" w:rsidRPr="007C07F1" w:rsidRDefault="00440A27">
          <w:pPr>
            <w:pStyle w:val="TDC1"/>
            <w:tabs>
              <w:tab w:val="left" w:pos="440"/>
              <w:tab w:val="right" w:leader="dot" w:pos="8828"/>
            </w:tabs>
            <w:rPr>
              <w:noProof/>
            </w:rPr>
          </w:pPr>
          <w:r w:rsidRPr="007C07F1">
            <w:rPr>
              <w:rFonts w:ascii="Palatino Linotype" w:hAnsi="Palatino Linotype"/>
              <w:lang w:val="es-MX"/>
            </w:rPr>
            <w:fldChar w:fldCharType="begin"/>
          </w:r>
          <w:r w:rsidRPr="007C07F1">
            <w:rPr>
              <w:rFonts w:ascii="Palatino Linotype" w:hAnsi="Palatino Linotype"/>
              <w:lang w:val="es-MX"/>
            </w:rPr>
            <w:instrText xml:space="preserve"> TOC \o "1-3" \h \z \u </w:instrText>
          </w:r>
          <w:r w:rsidRPr="007C07F1">
            <w:rPr>
              <w:rFonts w:ascii="Palatino Linotype" w:hAnsi="Palatino Linotype"/>
              <w:lang w:val="es-MX"/>
            </w:rPr>
            <w:fldChar w:fldCharType="separate"/>
          </w:r>
          <w:hyperlink w:anchor="_Toc522548638" w:history="1">
            <w:r w:rsidR="007C07F1" w:rsidRPr="007C07F1">
              <w:rPr>
                <w:rStyle w:val="Hipervnculo"/>
                <w:rFonts w:ascii="Palatino Linotype" w:eastAsiaTheme="majorEastAsia" w:hAnsi="Palatino Linotype" w:cstheme="majorBidi"/>
                <w:b/>
                <w:noProof/>
                <w:lang w:val="es-MX"/>
              </w:rPr>
              <w:t>I.</w:t>
            </w:r>
            <w:r w:rsidR="007C07F1" w:rsidRPr="007C07F1">
              <w:rPr>
                <w:noProof/>
              </w:rPr>
              <w:tab/>
            </w:r>
            <w:r w:rsidR="007C07F1" w:rsidRPr="007C07F1">
              <w:rPr>
                <w:rStyle w:val="Hipervnculo"/>
                <w:rFonts w:ascii="Palatino Linotype" w:eastAsiaTheme="majorEastAsia" w:hAnsi="Palatino Linotype" w:cstheme="majorBidi"/>
                <w:b/>
                <w:noProof/>
                <w:lang w:val="es-MX"/>
              </w:rPr>
              <w:t>Consideraciones Generales.</w:t>
            </w:r>
            <w:r w:rsidR="007C07F1" w:rsidRPr="007C07F1">
              <w:rPr>
                <w:noProof/>
                <w:webHidden/>
              </w:rPr>
              <w:tab/>
            </w:r>
            <w:r w:rsidR="007C07F1" w:rsidRPr="007C07F1">
              <w:rPr>
                <w:noProof/>
                <w:webHidden/>
              </w:rPr>
              <w:fldChar w:fldCharType="begin"/>
            </w:r>
            <w:r w:rsidR="007C07F1" w:rsidRPr="007C07F1">
              <w:rPr>
                <w:noProof/>
                <w:webHidden/>
              </w:rPr>
              <w:instrText xml:space="preserve"> PAGEREF _Toc522548638 \h </w:instrText>
            </w:r>
            <w:r w:rsidR="007C07F1" w:rsidRPr="007C07F1">
              <w:rPr>
                <w:noProof/>
                <w:webHidden/>
              </w:rPr>
            </w:r>
            <w:r w:rsidR="007C07F1" w:rsidRPr="007C07F1">
              <w:rPr>
                <w:noProof/>
                <w:webHidden/>
              </w:rPr>
              <w:fldChar w:fldCharType="separate"/>
            </w:r>
            <w:r w:rsidR="007C07F1">
              <w:rPr>
                <w:noProof/>
                <w:webHidden/>
              </w:rPr>
              <w:t>2</w:t>
            </w:r>
            <w:r w:rsidR="007C07F1" w:rsidRPr="007C07F1">
              <w:rPr>
                <w:noProof/>
                <w:webHidden/>
              </w:rPr>
              <w:fldChar w:fldCharType="end"/>
            </w:r>
          </w:hyperlink>
        </w:p>
        <w:p w:rsidR="007C07F1" w:rsidRPr="007C07F1" w:rsidRDefault="00E64E2B">
          <w:pPr>
            <w:pStyle w:val="TDC1"/>
            <w:tabs>
              <w:tab w:val="left" w:pos="660"/>
              <w:tab w:val="right" w:leader="dot" w:pos="8828"/>
            </w:tabs>
            <w:rPr>
              <w:noProof/>
            </w:rPr>
          </w:pPr>
          <w:hyperlink w:anchor="_Toc522548639" w:history="1">
            <w:r w:rsidR="007C07F1" w:rsidRPr="007C07F1">
              <w:rPr>
                <w:rStyle w:val="Hipervnculo"/>
                <w:rFonts w:ascii="Palatino Linotype" w:eastAsiaTheme="majorEastAsia" w:hAnsi="Palatino Linotype" w:cstheme="majorBidi"/>
                <w:b/>
                <w:noProof/>
                <w:lang w:val="es-MX"/>
              </w:rPr>
              <w:t>II.</w:t>
            </w:r>
            <w:r w:rsidR="007C07F1" w:rsidRPr="007C07F1">
              <w:rPr>
                <w:noProof/>
              </w:rPr>
              <w:tab/>
            </w:r>
            <w:r w:rsidR="007C07F1" w:rsidRPr="007C07F1">
              <w:rPr>
                <w:rStyle w:val="Hipervnculo"/>
                <w:rFonts w:ascii="Palatino Linotype" w:eastAsiaTheme="majorEastAsia" w:hAnsi="Palatino Linotype" w:cstheme="majorBidi"/>
                <w:b/>
                <w:noProof/>
                <w:lang w:val="es-MX"/>
              </w:rPr>
              <w:t>De los requerimientos planteados en el recurso de revisión.</w:t>
            </w:r>
            <w:r w:rsidR="007C07F1" w:rsidRPr="007C07F1">
              <w:rPr>
                <w:noProof/>
                <w:webHidden/>
              </w:rPr>
              <w:tab/>
            </w:r>
            <w:r w:rsidR="007C07F1" w:rsidRPr="007C07F1">
              <w:rPr>
                <w:noProof/>
                <w:webHidden/>
              </w:rPr>
              <w:fldChar w:fldCharType="begin"/>
            </w:r>
            <w:r w:rsidR="007C07F1" w:rsidRPr="007C07F1">
              <w:rPr>
                <w:noProof/>
                <w:webHidden/>
              </w:rPr>
              <w:instrText xml:space="preserve"> PAGEREF _Toc522548639 \h </w:instrText>
            </w:r>
            <w:r w:rsidR="007C07F1" w:rsidRPr="007C07F1">
              <w:rPr>
                <w:noProof/>
                <w:webHidden/>
              </w:rPr>
            </w:r>
            <w:r w:rsidR="007C07F1" w:rsidRPr="007C07F1">
              <w:rPr>
                <w:noProof/>
                <w:webHidden/>
              </w:rPr>
              <w:fldChar w:fldCharType="separate"/>
            </w:r>
            <w:r w:rsidR="007C07F1">
              <w:rPr>
                <w:noProof/>
                <w:webHidden/>
              </w:rPr>
              <w:t>3</w:t>
            </w:r>
            <w:r w:rsidR="007C07F1" w:rsidRPr="007C07F1">
              <w:rPr>
                <w:noProof/>
                <w:webHidden/>
              </w:rPr>
              <w:fldChar w:fldCharType="end"/>
            </w:r>
          </w:hyperlink>
        </w:p>
        <w:p w:rsidR="007C07F1" w:rsidRPr="007C07F1" w:rsidRDefault="00E64E2B" w:rsidP="007C07F1">
          <w:pPr>
            <w:pStyle w:val="TDC2"/>
            <w:tabs>
              <w:tab w:val="left" w:pos="880"/>
              <w:tab w:val="right" w:leader="dot" w:pos="8828"/>
            </w:tabs>
            <w:ind w:left="0"/>
            <w:rPr>
              <w:noProof/>
            </w:rPr>
          </w:pPr>
          <w:hyperlink w:anchor="_Toc522548640" w:history="1">
            <w:r w:rsidR="007C07F1" w:rsidRPr="007C07F1">
              <w:rPr>
                <w:rStyle w:val="Hipervnculo"/>
                <w:rFonts w:ascii="Palatino Linotype" w:hAnsi="Palatino Linotype"/>
                <w:b/>
                <w:noProof/>
                <w:lang w:val="es-MX"/>
              </w:rPr>
              <w:t>III.</w:t>
            </w:r>
            <w:r w:rsidR="007C07F1" w:rsidRPr="007C07F1">
              <w:rPr>
                <w:noProof/>
              </w:rPr>
              <w:tab/>
            </w:r>
            <w:r w:rsidR="007C07F1" w:rsidRPr="007C07F1">
              <w:rPr>
                <w:rStyle w:val="Hipervnculo"/>
                <w:rFonts w:ascii="Palatino Linotype" w:hAnsi="Palatino Linotype"/>
                <w:b/>
                <w:noProof/>
                <w:lang w:val="es-MX"/>
              </w:rPr>
              <w:t>La figura de actos consentidos.</w:t>
            </w:r>
            <w:r w:rsidR="007C07F1" w:rsidRPr="007C07F1">
              <w:rPr>
                <w:noProof/>
                <w:webHidden/>
              </w:rPr>
              <w:tab/>
            </w:r>
            <w:r w:rsidR="007C07F1" w:rsidRPr="007C07F1">
              <w:rPr>
                <w:noProof/>
                <w:webHidden/>
              </w:rPr>
              <w:fldChar w:fldCharType="begin"/>
            </w:r>
            <w:r w:rsidR="007C07F1" w:rsidRPr="007C07F1">
              <w:rPr>
                <w:noProof/>
                <w:webHidden/>
              </w:rPr>
              <w:instrText xml:space="preserve"> PAGEREF _Toc522548640 \h </w:instrText>
            </w:r>
            <w:r w:rsidR="007C07F1" w:rsidRPr="007C07F1">
              <w:rPr>
                <w:noProof/>
                <w:webHidden/>
              </w:rPr>
            </w:r>
            <w:r w:rsidR="007C07F1" w:rsidRPr="007C07F1">
              <w:rPr>
                <w:noProof/>
                <w:webHidden/>
              </w:rPr>
              <w:fldChar w:fldCharType="separate"/>
            </w:r>
            <w:r w:rsidR="007C07F1">
              <w:rPr>
                <w:noProof/>
                <w:webHidden/>
              </w:rPr>
              <w:t>10</w:t>
            </w:r>
            <w:r w:rsidR="007C07F1" w:rsidRPr="007C07F1">
              <w:rPr>
                <w:noProof/>
                <w:webHidden/>
              </w:rPr>
              <w:fldChar w:fldCharType="end"/>
            </w:r>
          </w:hyperlink>
        </w:p>
        <w:p w:rsidR="007C07F1" w:rsidRPr="007C07F1" w:rsidRDefault="00E64E2B">
          <w:pPr>
            <w:pStyle w:val="TDC1"/>
            <w:tabs>
              <w:tab w:val="left" w:pos="660"/>
              <w:tab w:val="right" w:leader="dot" w:pos="8828"/>
            </w:tabs>
            <w:rPr>
              <w:noProof/>
            </w:rPr>
          </w:pPr>
          <w:hyperlink w:anchor="_Toc522548641" w:history="1">
            <w:r w:rsidR="007C07F1" w:rsidRPr="007C07F1">
              <w:rPr>
                <w:rStyle w:val="Hipervnculo"/>
                <w:rFonts w:ascii="Palatino Linotype" w:eastAsiaTheme="majorEastAsia" w:hAnsi="Palatino Linotype" w:cstheme="majorBidi"/>
                <w:b/>
                <w:noProof/>
                <w:lang w:val="es-MX"/>
              </w:rPr>
              <w:t>IV.</w:t>
            </w:r>
            <w:r w:rsidR="007C07F1" w:rsidRPr="007C07F1">
              <w:rPr>
                <w:noProof/>
              </w:rPr>
              <w:tab/>
            </w:r>
            <w:r w:rsidR="007C07F1" w:rsidRPr="007C07F1">
              <w:rPr>
                <w:rStyle w:val="Hipervnculo"/>
                <w:rFonts w:ascii="Palatino Linotype" w:eastAsiaTheme="majorEastAsia" w:hAnsi="Palatino Linotype" w:cstheme="majorBidi"/>
                <w:b/>
                <w:noProof/>
                <w:lang w:val="es-MX"/>
              </w:rPr>
              <w:t>Los actos consentidos no deben invocarse en el derecho fundamental de acceder a la información pública gubernamental.</w:t>
            </w:r>
            <w:r w:rsidR="007C07F1" w:rsidRPr="007C07F1">
              <w:rPr>
                <w:noProof/>
                <w:webHidden/>
              </w:rPr>
              <w:tab/>
            </w:r>
            <w:r w:rsidR="007C07F1" w:rsidRPr="007C07F1">
              <w:rPr>
                <w:noProof/>
                <w:webHidden/>
              </w:rPr>
              <w:fldChar w:fldCharType="begin"/>
            </w:r>
            <w:r w:rsidR="007C07F1" w:rsidRPr="007C07F1">
              <w:rPr>
                <w:noProof/>
                <w:webHidden/>
              </w:rPr>
              <w:instrText xml:space="preserve"> PAGEREF _Toc522548641 \h </w:instrText>
            </w:r>
            <w:r w:rsidR="007C07F1" w:rsidRPr="007C07F1">
              <w:rPr>
                <w:noProof/>
                <w:webHidden/>
              </w:rPr>
            </w:r>
            <w:r w:rsidR="007C07F1" w:rsidRPr="007C07F1">
              <w:rPr>
                <w:noProof/>
                <w:webHidden/>
              </w:rPr>
              <w:fldChar w:fldCharType="separate"/>
            </w:r>
            <w:r w:rsidR="007C07F1">
              <w:rPr>
                <w:noProof/>
                <w:webHidden/>
              </w:rPr>
              <w:t>13</w:t>
            </w:r>
            <w:r w:rsidR="007C07F1" w:rsidRPr="007C07F1">
              <w:rPr>
                <w:noProof/>
                <w:webHidden/>
              </w:rPr>
              <w:fldChar w:fldCharType="end"/>
            </w:r>
          </w:hyperlink>
        </w:p>
        <w:p w:rsidR="00440A27" w:rsidRPr="007C07F1" w:rsidRDefault="00440A27" w:rsidP="00440A27">
          <w:pPr>
            <w:spacing w:line="360" w:lineRule="auto"/>
            <w:rPr>
              <w:rFonts w:ascii="Palatino Linotype" w:hAnsi="Palatino Linotype"/>
              <w:lang w:val="es-MX"/>
            </w:rPr>
          </w:pPr>
          <w:r w:rsidRPr="007C07F1">
            <w:rPr>
              <w:rFonts w:ascii="Palatino Linotype" w:hAnsi="Palatino Linotype"/>
              <w:b/>
              <w:bCs/>
            </w:rPr>
            <w:fldChar w:fldCharType="end"/>
          </w:r>
        </w:p>
      </w:sdtContent>
    </w:sdt>
    <w:p w:rsidR="00440A27" w:rsidRPr="007C07F1" w:rsidRDefault="00440A27" w:rsidP="00440A27">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0" w:name="_Toc522548638"/>
      <w:r w:rsidRPr="007C07F1">
        <w:rPr>
          <w:rFonts w:ascii="Palatino Linotype" w:eastAsiaTheme="majorEastAsia" w:hAnsi="Palatino Linotype" w:cstheme="majorBidi"/>
          <w:b/>
          <w:sz w:val="24"/>
          <w:szCs w:val="24"/>
          <w:lang w:val="es-MX"/>
        </w:rPr>
        <w:t>Consideraciones Generales.</w:t>
      </w:r>
      <w:bookmarkEnd w:id="0"/>
    </w:p>
    <w:p w:rsidR="00440A27" w:rsidRPr="007C07F1" w:rsidRDefault="00440A27" w:rsidP="00440A27">
      <w:pPr>
        <w:spacing w:after="0" w:line="360" w:lineRule="auto"/>
        <w:ind w:left="1080"/>
        <w:contextualSpacing/>
        <w:jc w:val="both"/>
        <w:rPr>
          <w:rFonts w:ascii="Palatino Linotype" w:hAnsi="Palatino Linotype" w:cs="Arial"/>
          <w:b/>
          <w:sz w:val="24"/>
          <w:szCs w:val="24"/>
          <w:lang w:val="es-MX"/>
        </w:rPr>
      </w:pPr>
    </w:p>
    <w:p w:rsidR="00440A27" w:rsidRPr="007C07F1" w:rsidRDefault="00440A27" w:rsidP="00DC10FB">
      <w:pPr>
        <w:numPr>
          <w:ilvl w:val="0"/>
          <w:numId w:val="1"/>
        </w:numPr>
        <w:spacing w:after="0" w:line="360" w:lineRule="auto"/>
        <w:ind w:left="426"/>
        <w:contextualSpacing/>
        <w:jc w:val="both"/>
        <w:rPr>
          <w:rFonts w:ascii="Palatino Linotype" w:hAnsi="Palatino Linotype" w:cs="Arial"/>
          <w:sz w:val="24"/>
          <w:szCs w:val="24"/>
          <w:lang w:val="es-MX"/>
        </w:rPr>
      </w:pPr>
      <w:r w:rsidRPr="007C07F1">
        <w:rPr>
          <w:rFonts w:ascii="Palatino Linotype" w:eastAsia="Times New Roman" w:hAnsi="Palatino Linotype" w:cs="Arial"/>
          <w:sz w:val="24"/>
          <w:szCs w:val="24"/>
          <w:lang w:val="es-ES_tradnl"/>
        </w:rPr>
        <w:t xml:space="preserve">He concurrido con mi voto particular de la presente resolución emitida </w:t>
      </w:r>
      <w:r w:rsidRPr="007C07F1">
        <w:rPr>
          <w:rFonts w:ascii="Palatino Linotype" w:hAnsi="Palatino Linotype" w:cs="Arial"/>
          <w:sz w:val="24"/>
          <w:szCs w:val="24"/>
          <w:lang w:val="es-MX"/>
        </w:rPr>
        <w:t xml:space="preserve">por el Pleno del Instituto de Transparencia, Acceso a la Información Pública y Protección de Datos Personales del Estado de México y Municipios, en su </w:t>
      </w:r>
      <w:r w:rsidR="0063200A" w:rsidRPr="007C07F1">
        <w:rPr>
          <w:rFonts w:ascii="Palatino Linotype" w:hAnsi="Palatino Linotype" w:cs="Arial"/>
          <w:sz w:val="24"/>
          <w:szCs w:val="24"/>
          <w:lang w:val="es-MX"/>
        </w:rPr>
        <w:t>Vigésima Novena</w:t>
      </w:r>
      <w:r w:rsidRPr="007C07F1">
        <w:rPr>
          <w:rFonts w:ascii="Palatino Linotype" w:hAnsi="Palatino Linotype" w:cs="Arial"/>
          <w:sz w:val="24"/>
          <w:szCs w:val="24"/>
          <w:lang w:val="es-MX"/>
        </w:rPr>
        <w:t xml:space="preserve"> Sesión Ordinaria de fecha </w:t>
      </w:r>
      <w:r w:rsidR="0063200A" w:rsidRPr="007C07F1">
        <w:rPr>
          <w:rFonts w:ascii="Palatino Linotype" w:hAnsi="Palatino Linotype" w:cs="Arial"/>
          <w:sz w:val="24"/>
          <w:szCs w:val="24"/>
          <w:lang w:val="es-MX"/>
        </w:rPr>
        <w:t>quince</w:t>
      </w:r>
      <w:r w:rsidRPr="007C07F1">
        <w:rPr>
          <w:rFonts w:ascii="Palatino Linotype" w:hAnsi="Palatino Linotype" w:cs="Arial"/>
          <w:sz w:val="24"/>
          <w:szCs w:val="24"/>
          <w:lang w:val="es-MX"/>
        </w:rPr>
        <w:t xml:space="preserve"> (1</w:t>
      </w:r>
      <w:r w:rsidR="0063200A" w:rsidRPr="007C07F1">
        <w:rPr>
          <w:rFonts w:ascii="Palatino Linotype" w:hAnsi="Palatino Linotype" w:cs="Arial"/>
          <w:sz w:val="24"/>
          <w:szCs w:val="24"/>
          <w:lang w:val="es-MX"/>
        </w:rPr>
        <w:t>5</w:t>
      </w:r>
      <w:r w:rsidRPr="007C07F1">
        <w:rPr>
          <w:rFonts w:ascii="Palatino Linotype" w:hAnsi="Palatino Linotype" w:cs="Arial"/>
          <w:sz w:val="24"/>
          <w:szCs w:val="24"/>
          <w:lang w:val="es-MX"/>
        </w:rPr>
        <w:t>) de agosto de dos mil dieciocho, en el recurso de revisión promovido por</w:t>
      </w:r>
      <w:r w:rsidRPr="007C07F1">
        <w:rPr>
          <w:rFonts w:ascii="Palatino Linotype" w:eastAsia="Times New Roman" w:hAnsi="Palatino Linotype" w:cs="Arial"/>
          <w:b/>
          <w:sz w:val="24"/>
          <w:szCs w:val="24"/>
          <w:lang w:eastAsia="es-ES"/>
        </w:rPr>
        <w:t xml:space="preserve"> </w:t>
      </w:r>
      <w:r w:rsidR="00E670AF">
        <w:rPr>
          <w:rFonts w:ascii="Palatino Linotype" w:hAnsi="Palatino Linotype" w:cs="Arial"/>
          <w:b/>
          <w:sz w:val="24"/>
        </w:rPr>
        <w:t xml:space="preserve">XXXXXX </w:t>
      </w:r>
      <w:r w:rsidRPr="007C07F1">
        <w:rPr>
          <w:rFonts w:ascii="Palatino Linotype" w:hAnsi="Palatino Linotype" w:cs="Arial"/>
          <w:sz w:val="24"/>
          <w:szCs w:val="24"/>
          <w:lang w:val="es-MX"/>
        </w:rPr>
        <w:t>,</w:t>
      </w:r>
      <w:r w:rsidRPr="007C07F1">
        <w:rPr>
          <w:rFonts w:ascii="Palatino Linotype" w:hAnsi="Palatino Linotype" w:cs="Arial"/>
          <w:b/>
          <w:sz w:val="24"/>
          <w:szCs w:val="24"/>
          <w:lang w:val="es-MX"/>
        </w:rPr>
        <w:t xml:space="preserve"> </w:t>
      </w:r>
      <w:r w:rsidR="0063200A" w:rsidRPr="007C07F1">
        <w:rPr>
          <w:rFonts w:ascii="Palatino Linotype" w:hAnsi="Palatino Linotype" w:cs="Arial"/>
          <w:sz w:val="24"/>
          <w:szCs w:val="24"/>
          <w:lang w:val="es-MX"/>
        </w:rPr>
        <w:t xml:space="preserve">en contra de la </w:t>
      </w:r>
      <w:r w:rsidR="0063200A" w:rsidRPr="007C07F1">
        <w:rPr>
          <w:rFonts w:ascii="Palatino Linotype" w:hAnsi="Palatino Linotype" w:cs="Arial"/>
          <w:sz w:val="24"/>
          <w:szCs w:val="24"/>
          <w:lang w:val="es-MX"/>
        </w:rPr>
        <w:lastRenderedPageBreak/>
        <w:t xml:space="preserve">respuesta del </w:t>
      </w:r>
      <w:r w:rsidR="0063200A" w:rsidRPr="007C07F1">
        <w:rPr>
          <w:rFonts w:ascii="Palatino Linotype" w:hAnsi="Palatino Linotype" w:cs="Arial"/>
          <w:b/>
          <w:sz w:val="24"/>
          <w:szCs w:val="24"/>
        </w:rPr>
        <w:t>Ayuntamiento de Zinacantepec</w:t>
      </w:r>
      <w:r w:rsidRPr="007C07F1">
        <w:rPr>
          <w:rFonts w:ascii="Palatino Linotype" w:eastAsia="Times New Roman" w:hAnsi="Palatino Linotype" w:cs="Arial"/>
          <w:b/>
          <w:sz w:val="24"/>
          <w:szCs w:val="24"/>
          <w:lang w:eastAsia="es-ES"/>
        </w:rPr>
        <w:t xml:space="preserve">, </w:t>
      </w:r>
      <w:r w:rsidRPr="007C07F1">
        <w:rPr>
          <w:rFonts w:ascii="Palatino Linotype" w:hAnsi="Palatino Linotype" w:cs="Arial"/>
          <w:sz w:val="24"/>
          <w:szCs w:val="24"/>
          <w:lang w:val="es-MX"/>
        </w:rPr>
        <w:t xml:space="preserve">procedimiento al que se le asignó el número de expediente </w:t>
      </w:r>
      <w:r w:rsidRPr="007C07F1">
        <w:rPr>
          <w:rFonts w:ascii="Palatino Linotype" w:eastAsia="Times New Roman" w:hAnsi="Palatino Linotype" w:cs="Arial"/>
          <w:b/>
          <w:bCs/>
          <w:sz w:val="24"/>
          <w:szCs w:val="24"/>
          <w:lang w:val="es-MX" w:eastAsia="es-ES"/>
        </w:rPr>
        <w:t>0</w:t>
      </w:r>
      <w:r w:rsidR="0063200A" w:rsidRPr="007C07F1">
        <w:rPr>
          <w:rFonts w:ascii="Palatino Linotype" w:eastAsia="Times New Roman" w:hAnsi="Palatino Linotype" w:cs="Arial"/>
          <w:b/>
          <w:bCs/>
          <w:sz w:val="24"/>
          <w:szCs w:val="24"/>
          <w:lang w:val="es-MX" w:eastAsia="es-ES"/>
        </w:rPr>
        <w:t>2240</w:t>
      </w:r>
      <w:r w:rsidRPr="007C07F1">
        <w:rPr>
          <w:rFonts w:ascii="Palatino Linotype" w:eastAsia="Times New Roman" w:hAnsi="Palatino Linotype" w:cs="Arial"/>
          <w:b/>
          <w:bCs/>
          <w:sz w:val="24"/>
          <w:szCs w:val="24"/>
          <w:lang w:val="es-MX" w:eastAsia="es-ES"/>
        </w:rPr>
        <w:t>/INFOEM/IP/RR/2018.</w:t>
      </w:r>
    </w:p>
    <w:p w:rsidR="00440A27" w:rsidRPr="007C07F1" w:rsidRDefault="00440A27" w:rsidP="00440A27">
      <w:pPr>
        <w:spacing w:after="0" w:line="360" w:lineRule="auto"/>
        <w:ind w:left="426"/>
        <w:contextualSpacing/>
        <w:jc w:val="both"/>
        <w:rPr>
          <w:rFonts w:ascii="Palatino Linotype" w:hAnsi="Palatino Linotype" w:cs="Arial"/>
          <w:sz w:val="24"/>
          <w:szCs w:val="24"/>
          <w:lang w:val="es-MX"/>
        </w:rPr>
      </w:pPr>
    </w:p>
    <w:p w:rsidR="00440A27" w:rsidRPr="007C07F1" w:rsidRDefault="00440A27" w:rsidP="00440A27">
      <w:pPr>
        <w:numPr>
          <w:ilvl w:val="0"/>
          <w:numId w:val="1"/>
        </w:numPr>
        <w:spacing w:before="240" w:after="240" w:line="360" w:lineRule="auto"/>
        <w:ind w:right="49"/>
        <w:contextualSpacing/>
        <w:jc w:val="both"/>
        <w:rPr>
          <w:rFonts w:ascii="Palatino Linotype" w:hAnsi="Palatino Linotype" w:cs="Arial"/>
          <w:sz w:val="24"/>
          <w:szCs w:val="24"/>
          <w:lang w:val="es-MX"/>
        </w:rPr>
      </w:pPr>
      <w:r w:rsidRPr="007C07F1">
        <w:rPr>
          <w:rFonts w:ascii="Palatino Linotype" w:hAnsi="Palatino Linotype" w:cs="Arial"/>
          <w:color w:val="000000" w:themeColor="text1"/>
          <w:sz w:val="24"/>
          <w:szCs w:val="24"/>
        </w:rPr>
        <w:t xml:space="preserve">La resolución puntualmente determina </w:t>
      </w:r>
      <w:r w:rsidR="0063200A" w:rsidRPr="007C07F1">
        <w:rPr>
          <w:rFonts w:ascii="Palatino Linotype" w:hAnsi="Palatino Linotype" w:cs="Arial"/>
          <w:b/>
          <w:color w:val="000000" w:themeColor="text1"/>
          <w:sz w:val="24"/>
          <w:szCs w:val="24"/>
        </w:rPr>
        <w:t xml:space="preserve">SOBRESEER </w:t>
      </w:r>
      <w:r w:rsidR="0063200A" w:rsidRPr="007C07F1">
        <w:rPr>
          <w:rFonts w:ascii="Palatino Linotype" w:hAnsi="Palatino Linotype" w:cs="Arial"/>
          <w:color w:val="000000" w:themeColor="text1"/>
          <w:sz w:val="24"/>
          <w:szCs w:val="24"/>
        </w:rPr>
        <w:t>el recurso de revisión;</w:t>
      </w:r>
      <w:r w:rsidRPr="007C07F1">
        <w:rPr>
          <w:rFonts w:ascii="Palatino Linotype" w:hAnsi="Palatino Linotype" w:cs="Arial"/>
          <w:color w:val="000000" w:themeColor="text1"/>
          <w:sz w:val="24"/>
          <w:szCs w:val="24"/>
        </w:rPr>
        <w:t xml:space="preserve"> </w:t>
      </w:r>
      <w:r w:rsidRPr="007C07F1">
        <w:rPr>
          <w:rFonts w:ascii="Palatino Linotype" w:hAnsi="Palatino Linotype" w:cs="Arial"/>
          <w:sz w:val="24"/>
          <w:szCs w:val="24"/>
          <w:lang w:val="es-MX"/>
        </w:rPr>
        <w:t xml:space="preserve">sin embargo, mi voto particular se deriva </w:t>
      </w:r>
      <w:r w:rsidR="0063200A" w:rsidRPr="007C07F1">
        <w:rPr>
          <w:rFonts w:ascii="Palatino Linotype" w:hAnsi="Palatino Linotype" w:cs="Arial"/>
          <w:sz w:val="24"/>
          <w:szCs w:val="24"/>
          <w:lang w:val="es-MX"/>
        </w:rPr>
        <w:t xml:space="preserve"> la falta de orientación al particular para el caso de que se haya incurrido en algún delito por la tala de árboles y </w:t>
      </w:r>
      <w:r w:rsidRPr="007C07F1">
        <w:rPr>
          <w:rFonts w:ascii="Palatino Linotype" w:hAnsi="Palatino Linotype" w:cs="Arial"/>
          <w:sz w:val="24"/>
          <w:szCs w:val="24"/>
          <w:lang w:val="es-MX"/>
        </w:rPr>
        <w:t>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440A27" w:rsidRPr="007C07F1" w:rsidRDefault="00440A27" w:rsidP="00440A27">
      <w:pPr>
        <w:ind w:left="720"/>
        <w:contextualSpacing/>
        <w:rPr>
          <w:rFonts w:ascii="Palatino Linotype" w:hAnsi="Palatino Linotype" w:cs="Arial"/>
          <w:sz w:val="24"/>
          <w:szCs w:val="24"/>
          <w:lang w:val="es-MX"/>
        </w:rPr>
      </w:pPr>
    </w:p>
    <w:p w:rsidR="00440A27" w:rsidRPr="007C07F1" w:rsidRDefault="00440A27" w:rsidP="00440A27">
      <w:pPr>
        <w:numPr>
          <w:ilvl w:val="0"/>
          <w:numId w:val="1"/>
        </w:numPr>
        <w:spacing w:line="360" w:lineRule="auto"/>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440A27" w:rsidRPr="007C07F1" w:rsidRDefault="00440A27" w:rsidP="00440A27">
      <w:pPr>
        <w:ind w:left="720"/>
        <w:contextualSpacing/>
        <w:rPr>
          <w:rFonts w:ascii="Palatino Linotype" w:hAnsi="Palatino Linotype" w:cs="Arial"/>
          <w:sz w:val="24"/>
          <w:szCs w:val="24"/>
          <w:lang w:val="es-MX"/>
        </w:rPr>
      </w:pPr>
    </w:p>
    <w:p w:rsidR="00440A27" w:rsidRPr="007C07F1" w:rsidRDefault="00440A27" w:rsidP="00440A27">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1" w:name="_Toc522548639"/>
      <w:r w:rsidRPr="007C07F1">
        <w:rPr>
          <w:rFonts w:ascii="Palatino Linotype" w:eastAsiaTheme="majorEastAsia" w:hAnsi="Palatino Linotype" w:cstheme="majorBidi"/>
          <w:b/>
          <w:sz w:val="24"/>
          <w:szCs w:val="24"/>
          <w:lang w:val="es-MX"/>
        </w:rPr>
        <w:t>De los requerimientos planteados en el recurso de revisión.</w:t>
      </w:r>
      <w:bookmarkEnd w:id="1"/>
    </w:p>
    <w:p w:rsidR="00440A27" w:rsidRPr="007C07F1" w:rsidRDefault="00440A27" w:rsidP="00440A27">
      <w:pPr>
        <w:spacing w:line="360" w:lineRule="auto"/>
        <w:ind w:left="1080"/>
        <w:contextualSpacing/>
        <w:jc w:val="both"/>
        <w:rPr>
          <w:rFonts w:ascii="Palatino Linotype" w:hAnsi="Palatino Linotype" w:cs="Arial"/>
          <w:sz w:val="24"/>
          <w:szCs w:val="24"/>
          <w:lang w:val="es-MX"/>
        </w:rPr>
      </w:pPr>
    </w:p>
    <w:p w:rsidR="00440A27" w:rsidRPr="007C07F1" w:rsidRDefault="00440A27" w:rsidP="00CB243B">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7C07F1">
        <w:rPr>
          <w:rFonts w:ascii="Palatino Linotype" w:hAnsi="Palatino Linotype" w:cs="Arial"/>
          <w:sz w:val="24"/>
          <w:szCs w:val="24"/>
          <w:lang w:val="es-MX"/>
        </w:rPr>
        <w:t xml:space="preserve">El particular </w:t>
      </w:r>
      <w:r w:rsidR="00CB243B" w:rsidRPr="007C07F1">
        <w:rPr>
          <w:rFonts w:ascii="Palatino Linotype" w:hAnsi="Palatino Linotype" w:cs="Arial"/>
          <w:sz w:val="24"/>
          <w:szCs w:val="24"/>
          <w:lang w:val="es-MX"/>
        </w:rPr>
        <w:t>solicitó al Sujeto Obligado la</w:t>
      </w:r>
      <w:r w:rsidRPr="007C07F1">
        <w:rPr>
          <w:rFonts w:ascii="Palatino Linotype" w:hAnsi="Palatino Linotype" w:cs="Arial"/>
          <w:sz w:val="24"/>
          <w:szCs w:val="24"/>
          <w:lang w:val="es-MX"/>
        </w:rPr>
        <w:t xml:space="preserve"> información</w:t>
      </w:r>
      <w:r w:rsidR="00CB243B" w:rsidRPr="007C07F1">
        <w:rPr>
          <w:rFonts w:ascii="Palatino Linotype" w:hAnsi="Palatino Linotype" w:cs="Arial"/>
          <w:sz w:val="24"/>
          <w:szCs w:val="24"/>
          <w:lang w:val="es-MX"/>
        </w:rPr>
        <w:t xml:space="preserve"> </w:t>
      </w:r>
      <w:proofErr w:type="spellStart"/>
      <w:r w:rsidR="00CB243B" w:rsidRPr="007C07F1">
        <w:rPr>
          <w:rFonts w:ascii="Palatino Linotype" w:hAnsi="Palatino Linotype" w:cs="Arial"/>
          <w:sz w:val="24"/>
          <w:szCs w:val="24"/>
          <w:lang w:val="es-MX"/>
        </w:rPr>
        <w:t>realtiva</w:t>
      </w:r>
      <w:proofErr w:type="spellEnd"/>
      <w:r w:rsidR="00CB243B" w:rsidRPr="007C07F1">
        <w:rPr>
          <w:rFonts w:ascii="Palatino Linotype" w:hAnsi="Palatino Linotype" w:cs="Arial"/>
          <w:sz w:val="24"/>
          <w:szCs w:val="24"/>
          <w:lang w:val="es-MX"/>
        </w:rPr>
        <w:t xml:space="preserve"> a ña poda de árboles del parque del fraccionamiento </w:t>
      </w:r>
      <w:r w:rsidR="00CB243B" w:rsidRPr="007C07F1">
        <w:rPr>
          <w:rFonts w:ascii="Palatino Linotype" w:hAnsi="Palatino Linotype"/>
          <w:b/>
          <w:i/>
          <w:color w:val="000000"/>
          <w:szCs w:val="14"/>
        </w:rPr>
        <w:t>“El Porvenir”</w:t>
      </w:r>
      <w:r w:rsidR="00CB243B" w:rsidRPr="007C07F1">
        <w:rPr>
          <w:rFonts w:ascii="Palatino Linotype" w:hAnsi="Palatino Linotype"/>
          <w:color w:val="000000"/>
          <w:szCs w:val="14"/>
        </w:rPr>
        <w:t xml:space="preserve">, realizada en la semana del </w:t>
      </w:r>
      <w:r w:rsidR="00CB243B" w:rsidRPr="007C07F1">
        <w:rPr>
          <w:rFonts w:ascii="Palatino Linotype" w:hAnsi="Palatino Linotype"/>
          <w:b/>
          <w:color w:val="000000"/>
          <w:szCs w:val="14"/>
          <w:u w:val="single"/>
        </w:rPr>
        <w:t>21 al 27 de mayo de 2018</w:t>
      </w:r>
      <w:r w:rsidRPr="007C07F1">
        <w:rPr>
          <w:rFonts w:ascii="Palatino Linotype" w:hAnsi="Palatino Linotype" w:cs="Arial"/>
          <w:sz w:val="24"/>
          <w:szCs w:val="24"/>
          <w:lang w:val="es-MX"/>
        </w:rPr>
        <w:t>:</w:t>
      </w:r>
    </w:p>
    <w:p w:rsidR="004E6C32" w:rsidRPr="007C07F1" w:rsidRDefault="004E6C32" w:rsidP="004E6C32">
      <w:pPr>
        <w:spacing w:after="0" w:line="360" w:lineRule="auto"/>
        <w:ind w:left="360"/>
        <w:contextualSpacing/>
        <w:jc w:val="both"/>
        <w:rPr>
          <w:rFonts w:ascii="Palatino Linotype" w:eastAsia="Times New Roman" w:hAnsi="Palatino Linotype" w:cs="Times New Roman"/>
          <w:i/>
          <w:sz w:val="24"/>
          <w:szCs w:val="24"/>
          <w:lang w:val="es-ES_tradnl" w:eastAsia="es-ES"/>
        </w:rPr>
      </w:pPr>
    </w:p>
    <w:p w:rsidR="004E6C32" w:rsidRPr="007C07F1" w:rsidRDefault="00440A27" w:rsidP="00CB243B">
      <w:pPr>
        <w:spacing w:after="0" w:line="360" w:lineRule="auto"/>
        <w:ind w:left="360" w:right="616"/>
        <w:contextualSpacing/>
        <w:jc w:val="both"/>
        <w:rPr>
          <w:rFonts w:ascii="Palatino Linotype" w:hAnsi="Palatino Linotype" w:cs="Arial"/>
          <w:sz w:val="24"/>
          <w:szCs w:val="24"/>
          <w:lang w:val="es-MX"/>
        </w:rPr>
      </w:pPr>
      <w:r w:rsidRPr="007C07F1">
        <w:rPr>
          <w:rFonts w:ascii="Palatino Linotype" w:eastAsia="Times New Roman" w:hAnsi="Palatino Linotype" w:cs="Arial"/>
          <w:i/>
          <w:lang w:val="es-MX" w:eastAsia="es-ES"/>
        </w:rPr>
        <w:t>“</w:t>
      </w:r>
      <w:r w:rsidR="0063200A" w:rsidRPr="007C07F1">
        <w:rPr>
          <w:rFonts w:ascii="Palatino Linotype" w:eastAsia="Calibri" w:hAnsi="Palatino Linotype" w:cs="Arial"/>
          <w:i/>
          <w:szCs w:val="24"/>
          <w:lang w:eastAsia="es-ES"/>
        </w:rPr>
        <w:t>Solicito la siguiente información respecto de la poda de árboles del parque del fraccionamiento El Porvenir, realizada en la semana del 21 al 27 de mayo de 2018: 1.</w:t>
      </w:r>
      <w:r w:rsidR="0063200A" w:rsidRPr="007C07F1">
        <w:rPr>
          <w:rFonts w:ascii="Palatino Linotype" w:eastAsia="Calibri" w:hAnsi="Palatino Linotype" w:cs="Arial"/>
          <w:i/>
          <w:szCs w:val="24"/>
          <w:lang w:eastAsia="es-ES"/>
        </w:rPr>
        <w:lastRenderedPageBreak/>
        <w:tab/>
        <w:t>En caso de haberse otorgado la autorización de poda a particulares: a.</w:t>
      </w:r>
      <w:r w:rsidR="0063200A" w:rsidRPr="007C07F1">
        <w:rPr>
          <w:rFonts w:ascii="Palatino Linotype" w:eastAsia="Calibri" w:hAnsi="Palatino Linotype" w:cs="Arial"/>
          <w:i/>
          <w:szCs w:val="24"/>
          <w:lang w:eastAsia="es-ES"/>
        </w:rPr>
        <w:tab/>
        <w:t xml:space="preserve">Explicación del ayuntamiento sobre las razones para ello, a pesar de que los árboles se encuentran en un parque que no es de propiedad privada </w:t>
      </w:r>
      <w:r w:rsidR="004E6C32" w:rsidRPr="007C07F1">
        <w:rPr>
          <w:rFonts w:ascii="Palatino Linotype" w:eastAsia="Calibri" w:hAnsi="Palatino Linotype" w:cs="Arial"/>
          <w:i/>
          <w:szCs w:val="24"/>
          <w:lang w:eastAsia="es-ES"/>
        </w:rPr>
        <w:t xml:space="preserve">ni </w:t>
      </w:r>
      <w:proofErr w:type="spellStart"/>
      <w:r w:rsidR="004E6C32" w:rsidRPr="007C07F1">
        <w:rPr>
          <w:rFonts w:ascii="Palatino Linotype" w:eastAsia="Calibri" w:hAnsi="Palatino Linotype" w:cs="Arial"/>
          <w:i/>
          <w:szCs w:val="24"/>
          <w:lang w:eastAsia="es-ES"/>
        </w:rPr>
        <w:t>condominal</w:t>
      </w:r>
      <w:proofErr w:type="spellEnd"/>
      <w:r w:rsidR="004E6C32" w:rsidRPr="007C07F1">
        <w:rPr>
          <w:rFonts w:ascii="Palatino Linotype" w:eastAsia="Calibri" w:hAnsi="Palatino Linotype" w:cs="Arial"/>
          <w:i/>
          <w:szCs w:val="24"/>
          <w:lang w:eastAsia="es-ES"/>
        </w:rPr>
        <w:t xml:space="preserve">, sino pública.  b. </w:t>
      </w:r>
      <w:r w:rsidR="0063200A" w:rsidRPr="007C07F1">
        <w:rPr>
          <w:rFonts w:ascii="Palatino Linotype" w:eastAsia="Calibri" w:hAnsi="Palatino Linotype" w:cs="Arial"/>
          <w:i/>
          <w:szCs w:val="24"/>
          <w:lang w:eastAsia="es-ES"/>
        </w:rPr>
        <w:t>Solicitud de poda presentada a la Dirección de Medio Ambiente. c.</w:t>
      </w:r>
      <w:r w:rsidR="0063200A" w:rsidRPr="007C07F1">
        <w:rPr>
          <w:rFonts w:ascii="Palatino Linotype" w:eastAsia="Calibri" w:hAnsi="Palatino Linotype" w:cs="Arial"/>
          <w:i/>
          <w:szCs w:val="24"/>
          <w:lang w:eastAsia="es-ES"/>
        </w:rPr>
        <w:tab/>
        <w:t>Versión pública del documento de conformidad de los vecinos y del documento que acredita la personalidad jurídica de quienes se ostentan como representantes del fraccionamiento (en los términos del Reglamento Municipal de Protección al Ambiente y la Biodiversidad de Zinacantepec). d.</w:t>
      </w:r>
      <w:r w:rsidR="0063200A" w:rsidRPr="007C07F1">
        <w:rPr>
          <w:rFonts w:ascii="Palatino Linotype" w:eastAsia="Calibri" w:hAnsi="Palatino Linotype" w:cs="Arial"/>
          <w:i/>
          <w:szCs w:val="24"/>
          <w:lang w:eastAsia="es-ES"/>
        </w:rPr>
        <w:tab/>
        <w:t>Autorización expedida por el Ayuntamiento. 2.</w:t>
      </w:r>
      <w:r w:rsidR="0063200A" w:rsidRPr="007C07F1">
        <w:rPr>
          <w:rFonts w:ascii="Palatino Linotype" w:eastAsia="Calibri" w:hAnsi="Palatino Linotype" w:cs="Arial"/>
          <w:i/>
          <w:szCs w:val="24"/>
          <w:lang w:eastAsia="es-ES"/>
        </w:rPr>
        <w:tab/>
        <w:t>En los términos de la Norma Técnica Estatal Ambiental NTEA-019-SeMAGEM-DS-2017, que establece las condiciones de protección, conservación, fomento, creación, rehabilitación y mantenimiento de las áreas verdes y macizos arbóreos de las zonas urbanas en el territorio del Estado de México: a.</w:t>
      </w:r>
      <w:r w:rsidR="0063200A" w:rsidRPr="007C07F1">
        <w:rPr>
          <w:rFonts w:ascii="Palatino Linotype" w:eastAsia="Calibri" w:hAnsi="Palatino Linotype" w:cs="Arial"/>
          <w:i/>
          <w:szCs w:val="24"/>
          <w:lang w:eastAsia="es-ES"/>
        </w:rPr>
        <w:tab/>
        <w:t>El Proyecto Ejecutivo que contenga las acciones y medidas para preservar, restaurar, remediar, rehabilitar y ordenar el parque y sus árboles. b.</w:t>
      </w:r>
      <w:r w:rsidR="0063200A" w:rsidRPr="007C07F1">
        <w:rPr>
          <w:rFonts w:ascii="Palatino Linotype" w:eastAsia="Calibri" w:hAnsi="Palatino Linotype" w:cs="Arial"/>
          <w:i/>
          <w:szCs w:val="24"/>
          <w:lang w:eastAsia="es-ES"/>
        </w:rPr>
        <w:tab/>
        <w:t>El Plan de Manejo que describa los programas y actividades que se deben de llevar a cabo en el parque, de manera organizada y secuenciada en el tiempo, para mejorarlo y conservarlo, incluyendo los recursos humanos y materiales necesarios para asegurar los beneficios y servicios ambientales que ofrece dicha área. c.</w:t>
      </w:r>
      <w:r w:rsidR="0063200A" w:rsidRPr="007C07F1">
        <w:rPr>
          <w:rFonts w:ascii="Palatino Linotype" w:eastAsia="Calibri" w:hAnsi="Palatino Linotype" w:cs="Arial"/>
          <w:i/>
          <w:szCs w:val="24"/>
          <w:lang w:eastAsia="es-ES"/>
        </w:rPr>
        <w:tab/>
        <w:t>El diagnóstico del parque y sus árboles, así como la descripción de las acciones para su conservación que es responsabilidad del Ayuntamie</w:t>
      </w:r>
      <w:bookmarkStart w:id="2" w:name="_GoBack"/>
      <w:bookmarkEnd w:id="2"/>
      <w:r w:rsidR="0063200A" w:rsidRPr="007C07F1">
        <w:rPr>
          <w:rFonts w:ascii="Palatino Linotype" w:eastAsia="Calibri" w:hAnsi="Palatino Linotype" w:cs="Arial"/>
          <w:i/>
          <w:szCs w:val="24"/>
          <w:lang w:eastAsia="es-ES"/>
        </w:rPr>
        <w:t>nto llevar a cabo en coordinación con la Secretaría de Medio Ambiente. d.</w:t>
      </w:r>
      <w:r w:rsidR="0063200A" w:rsidRPr="007C07F1">
        <w:rPr>
          <w:rFonts w:ascii="Palatino Linotype" w:eastAsia="Calibri" w:hAnsi="Palatino Linotype" w:cs="Arial"/>
          <w:i/>
          <w:szCs w:val="24"/>
          <w:lang w:eastAsia="es-ES"/>
        </w:rPr>
        <w:tab/>
        <w:t>Descripción de las acciones que es obligación del Ayuntamiento desarrollar, en colaboración y con la participación con la sociedad, para procurar la permanencia y buen estado del parque y sus árboles. e.</w:t>
      </w:r>
      <w:r w:rsidR="0063200A" w:rsidRPr="007C07F1">
        <w:rPr>
          <w:rFonts w:ascii="Palatino Linotype" w:eastAsia="Calibri" w:hAnsi="Palatino Linotype" w:cs="Arial"/>
          <w:i/>
          <w:szCs w:val="24"/>
          <w:lang w:eastAsia="es-ES"/>
        </w:rPr>
        <w:tab/>
        <w:t>El Programa de Mantenimiento que considere los siguientes incisos: i.</w:t>
      </w:r>
      <w:r w:rsidR="0063200A" w:rsidRPr="007C07F1">
        <w:rPr>
          <w:rFonts w:ascii="Palatino Linotype" w:eastAsia="Calibri" w:hAnsi="Palatino Linotype" w:cs="Arial"/>
          <w:i/>
          <w:szCs w:val="24"/>
          <w:lang w:eastAsia="es-ES"/>
        </w:rPr>
        <w:tab/>
        <w:t xml:space="preserve">Antecedentes del área: información de tipo histórico y geográfico que permita conocer el sitio y sus condiciones ambientales de índole biológica y naturales (fisiografía, topografía, edafología, hidrología, clima y contaminación ambiental) que afecten el área </w:t>
      </w:r>
      <w:r w:rsidR="0063200A" w:rsidRPr="007C07F1">
        <w:rPr>
          <w:rFonts w:ascii="Palatino Linotype" w:eastAsia="Calibri" w:hAnsi="Palatino Linotype" w:cs="Arial"/>
          <w:i/>
          <w:szCs w:val="24"/>
          <w:lang w:eastAsia="es-ES"/>
        </w:rPr>
        <w:lastRenderedPageBreak/>
        <w:t>verde, su sobrevivencia y desarrollo. ii.</w:t>
      </w:r>
      <w:r w:rsidR="0063200A" w:rsidRPr="007C07F1">
        <w:rPr>
          <w:rFonts w:ascii="Palatino Linotype" w:eastAsia="Calibri" w:hAnsi="Palatino Linotype" w:cs="Arial"/>
          <w:i/>
          <w:szCs w:val="24"/>
          <w:lang w:eastAsia="es-ES"/>
        </w:rPr>
        <w:tab/>
        <w:t>Situación legal del área verde y ubicación dentro del organigrama municipal. iii.</w:t>
      </w:r>
      <w:r w:rsidR="0063200A" w:rsidRPr="007C07F1">
        <w:rPr>
          <w:rFonts w:ascii="Palatino Linotype" w:eastAsia="Calibri" w:hAnsi="Palatino Linotype" w:cs="Arial"/>
          <w:i/>
          <w:szCs w:val="24"/>
          <w:lang w:eastAsia="es-ES"/>
        </w:rPr>
        <w:tab/>
        <w:t>Condiciones históricas, sociales y económicas de la población (número de habitantes, densidad de población, vivienda educación, salud, servicios públicos, vías de comunicación, industria, turismo y comercio). iv.</w:t>
      </w:r>
      <w:r w:rsidR="0063200A" w:rsidRPr="007C07F1">
        <w:rPr>
          <w:rFonts w:ascii="Palatino Linotype" w:eastAsia="Calibri" w:hAnsi="Palatino Linotype" w:cs="Arial"/>
          <w:i/>
          <w:szCs w:val="24"/>
          <w:lang w:eastAsia="es-ES"/>
        </w:rPr>
        <w:tab/>
        <w:t>Condiciones ambientales del sitio (clima, suelo, geología); características de suelo (estructura, textura, pH, salinidad, materia orgánica, nivel freático, fertilidad y grado de compactación y determinan en última instancia), y clima (temperatura máxima, media y mínima; precipitación; humedad atmosférica; dirección y velocidad del viento; fenómenos diversos [días con helada, con niebla, con lluvia inapreciable y apreciable, con granizo, con tormenta eléctrica, entre otros], tipos de nubes y grado de nubosidad). v.</w:t>
      </w:r>
      <w:r w:rsidR="0063200A" w:rsidRPr="007C07F1">
        <w:rPr>
          <w:rFonts w:ascii="Palatino Linotype" w:eastAsia="Calibri" w:hAnsi="Palatino Linotype" w:cs="Arial"/>
          <w:i/>
          <w:szCs w:val="24"/>
          <w:lang w:eastAsia="es-ES"/>
        </w:rPr>
        <w:tab/>
        <w:t>Zonificación del espacio (zonas forestadas, infraestructura, mobiliario). vi.</w:t>
      </w:r>
      <w:r w:rsidR="0063200A" w:rsidRPr="007C07F1">
        <w:rPr>
          <w:rFonts w:ascii="Palatino Linotype" w:eastAsia="Calibri" w:hAnsi="Palatino Linotype" w:cs="Arial"/>
          <w:i/>
          <w:szCs w:val="24"/>
          <w:lang w:eastAsia="es-ES"/>
        </w:rPr>
        <w:tab/>
        <w:t>Inventario de especies arbóreas, arbustivas y herbáceas y plano de localización geográfica. vii.</w:t>
      </w:r>
      <w:r w:rsidR="0063200A" w:rsidRPr="007C07F1">
        <w:rPr>
          <w:rFonts w:ascii="Palatino Linotype" w:eastAsia="Calibri" w:hAnsi="Palatino Linotype" w:cs="Arial"/>
          <w:i/>
          <w:szCs w:val="24"/>
          <w:lang w:eastAsia="es-ES"/>
        </w:rPr>
        <w:tab/>
        <w:t>Identificación de cada árbol (nombre común y científico al que pertenece cada árbol). viii.</w:t>
      </w:r>
      <w:r w:rsidR="0063200A" w:rsidRPr="007C07F1">
        <w:rPr>
          <w:rFonts w:ascii="Palatino Linotype" w:eastAsia="Calibri" w:hAnsi="Palatino Linotype" w:cs="Arial"/>
          <w:i/>
          <w:szCs w:val="24"/>
          <w:lang w:eastAsia="es-ES"/>
        </w:rPr>
        <w:tab/>
        <w:t>Número asignado a cada individuo y de forma consecutiva a todo el arbolado que forme parte del registro; establecimiento, en un plano, de cada individuo para conocer su lugar mediante su georreferenciación. ix.</w:t>
      </w:r>
      <w:r w:rsidR="0063200A" w:rsidRPr="007C07F1">
        <w:rPr>
          <w:rFonts w:ascii="Palatino Linotype" w:eastAsia="Calibri" w:hAnsi="Palatino Linotype" w:cs="Arial"/>
          <w:i/>
          <w:szCs w:val="24"/>
          <w:lang w:eastAsia="es-ES"/>
        </w:rPr>
        <w:tab/>
        <w:t xml:space="preserve">Determinación de la etapa de desarrollo, de acuerdo con la metodología propuesta por Benavides (2015). x. Variables </w:t>
      </w:r>
      <w:proofErr w:type="spellStart"/>
      <w:r w:rsidR="0063200A" w:rsidRPr="007C07F1">
        <w:rPr>
          <w:rFonts w:ascii="Palatino Linotype" w:eastAsia="Calibri" w:hAnsi="Palatino Linotype" w:cs="Arial"/>
          <w:i/>
          <w:szCs w:val="24"/>
          <w:lang w:eastAsia="es-ES"/>
        </w:rPr>
        <w:t>dendrométricas</w:t>
      </w:r>
      <w:proofErr w:type="spellEnd"/>
      <w:r w:rsidR="0063200A" w:rsidRPr="007C07F1">
        <w:rPr>
          <w:rFonts w:ascii="Palatino Linotype" w:eastAsia="Calibri" w:hAnsi="Palatino Linotype" w:cs="Arial"/>
          <w:i/>
          <w:szCs w:val="24"/>
          <w:lang w:eastAsia="es-ES"/>
        </w:rPr>
        <w:t xml:space="preserve">: diámetros basal y normal (medida con cinta </w:t>
      </w:r>
      <w:proofErr w:type="spellStart"/>
      <w:r w:rsidR="0063200A" w:rsidRPr="007C07F1">
        <w:rPr>
          <w:rFonts w:ascii="Palatino Linotype" w:eastAsia="Calibri" w:hAnsi="Palatino Linotype" w:cs="Arial"/>
          <w:i/>
          <w:szCs w:val="24"/>
          <w:lang w:eastAsia="es-ES"/>
        </w:rPr>
        <w:t>diamétrica</w:t>
      </w:r>
      <w:proofErr w:type="spellEnd"/>
      <w:r w:rsidR="0063200A" w:rsidRPr="007C07F1">
        <w:rPr>
          <w:rFonts w:ascii="Palatino Linotype" w:eastAsia="Calibri" w:hAnsi="Palatino Linotype" w:cs="Arial"/>
          <w:i/>
          <w:szCs w:val="24"/>
          <w:lang w:eastAsia="es-ES"/>
        </w:rPr>
        <w:t>); altura de los árboles (medida con pistola Haga), y cobertura de copa xi.</w:t>
      </w:r>
      <w:r w:rsidR="0063200A" w:rsidRPr="007C07F1">
        <w:rPr>
          <w:rFonts w:ascii="Palatino Linotype" w:eastAsia="Calibri" w:hAnsi="Palatino Linotype" w:cs="Arial"/>
          <w:i/>
          <w:szCs w:val="24"/>
          <w:lang w:eastAsia="es-ES"/>
        </w:rPr>
        <w:tab/>
        <w:t>Capacidad de carga del lugar para evitar la compactación del suelo. xii.</w:t>
      </w:r>
      <w:r w:rsidR="0063200A" w:rsidRPr="007C07F1">
        <w:rPr>
          <w:rFonts w:ascii="Palatino Linotype" w:eastAsia="Calibri" w:hAnsi="Palatino Linotype" w:cs="Arial"/>
          <w:i/>
          <w:szCs w:val="24"/>
          <w:lang w:eastAsia="es-ES"/>
        </w:rPr>
        <w:tab/>
        <w:t>Fuentes de abasto de agua. xiii.</w:t>
      </w:r>
      <w:r w:rsidR="0063200A" w:rsidRPr="007C07F1">
        <w:rPr>
          <w:rFonts w:ascii="Palatino Linotype" w:eastAsia="Calibri" w:hAnsi="Palatino Linotype" w:cs="Arial"/>
          <w:i/>
          <w:szCs w:val="24"/>
          <w:lang w:eastAsia="es-ES"/>
        </w:rPr>
        <w:tab/>
        <w:t>Estudio fitosanitario. f.</w:t>
      </w:r>
      <w:r w:rsidR="0063200A" w:rsidRPr="007C07F1">
        <w:rPr>
          <w:rFonts w:ascii="Palatino Linotype" w:eastAsia="Calibri" w:hAnsi="Palatino Linotype" w:cs="Arial"/>
          <w:i/>
          <w:szCs w:val="24"/>
          <w:lang w:eastAsia="es-ES"/>
        </w:rPr>
        <w:tab/>
        <w:t xml:space="preserve">Versión pública de los documentos que amparen la capacitación y certificación comprobable, emitida por una institución reconocida en materia de arboricultura, del personal técnico que haya realizado los diagnósticos, dictámenes técnicos, ejecución de las podas y supervisión de estas labores en el arbolado del parque. g. Registro vigente del personal técnico emitido la Coordinación General de Conservación Ecológica de la </w:t>
      </w:r>
      <w:r w:rsidR="0063200A" w:rsidRPr="007C07F1">
        <w:rPr>
          <w:rFonts w:ascii="Palatino Linotype" w:eastAsia="Calibri" w:hAnsi="Palatino Linotype" w:cs="Arial"/>
          <w:i/>
          <w:szCs w:val="24"/>
          <w:lang w:eastAsia="es-ES"/>
        </w:rPr>
        <w:lastRenderedPageBreak/>
        <w:t>Secretaría del Medio Ambiente. 3.</w:t>
      </w:r>
      <w:r w:rsidR="0063200A" w:rsidRPr="007C07F1">
        <w:rPr>
          <w:rFonts w:ascii="Palatino Linotype" w:eastAsia="Calibri" w:hAnsi="Palatino Linotype" w:cs="Arial"/>
          <w:i/>
          <w:szCs w:val="24"/>
          <w:lang w:eastAsia="es-ES"/>
        </w:rPr>
        <w:tab/>
        <w:t>En los términos de la Norma Técnica Estatal Ambiental NTEA-018-SeMAGEM-DS-2017, 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a.</w:t>
      </w:r>
      <w:r w:rsidR="0063200A" w:rsidRPr="007C07F1">
        <w:rPr>
          <w:rFonts w:ascii="Palatino Linotype" w:eastAsia="Calibri" w:hAnsi="Palatino Linotype" w:cs="Arial"/>
          <w:i/>
          <w:szCs w:val="24"/>
          <w:lang w:eastAsia="es-ES"/>
        </w:rPr>
        <w:tab/>
        <w:t xml:space="preserve">Dictámenes de los árboles ya podados y por podar, de acuerdo con los formatos del Anexo 1. </w:t>
      </w:r>
      <w:proofErr w:type="spellStart"/>
      <w:r w:rsidR="0063200A" w:rsidRPr="007C07F1">
        <w:rPr>
          <w:rFonts w:ascii="Palatino Linotype" w:eastAsia="Calibri" w:hAnsi="Palatino Linotype" w:cs="Arial"/>
          <w:i/>
          <w:szCs w:val="24"/>
          <w:lang w:eastAsia="es-ES"/>
        </w:rPr>
        <w:t>b.Enumeración</w:t>
      </w:r>
      <w:proofErr w:type="spellEnd"/>
      <w:r w:rsidR="0063200A" w:rsidRPr="007C07F1">
        <w:rPr>
          <w:rFonts w:ascii="Palatino Linotype" w:eastAsia="Calibri" w:hAnsi="Palatino Linotype" w:cs="Arial"/>
          <w:i/>
          <w:szCs w:val="24"/>
          <w:lang w:eastAsia="es-ES"/>
        </w:rPr>
        <w:t xml:space="preserve"> y descripción del equipo, herramienta e instrumentos utilizados para la </w:t>
      </w:r>
      <w:proofErr w:type="spellStart"/>
      <w:r w:rsidR="0063200A" w:rsidRPr="007C07F1">
        <w:rPr>
          <w:rFonts w:ascii="Palatino Linotype" w:eastAsia="Calibri" w:hAnsi="Palatino Linotype" w:cs="Arial"/>
          <w:i/>
          <w:szCs w:val="24"/>
          <w:lang w:eastAsia="es-ES"/>
        </w:rPr>
        <w:t>dictaminación</w:t>
      </w:r>
      <w:proofErr w:type="spellEnd"/>
      <w:r w:rsidR="0063200A" w:rsidRPr="007C07F1">
        <w:rPr>
          <w:rFonts w:ascii="Palatino Linotype" w:eastAsia="Calibri" w:hAnsi="Palatino Linotype" w:cs="Arial"/>
          <w:i/>
          <w:szCs w:val="24"/>
          <w:lang w:eastAsia="es-ES"/>
        </w:rPr>
        <w:t>. c.</w:t>
      </w:r>
      <w:r w:rsidR="0063200A" w:rsidRPr="007C07F1">
        <w:rPr>
          <w:rFonts w:ascii="Palatino Linotype" w:eastAsia="Calibri" w:hAnsi="Palatino Linotype" w:cs="Arial"/>
          <w:i/>
          <w:szCs w:val="24"/>
          <w:lang w:eastAsia="es-ES"/>
        </w:rPr>
        <w:tab/>
        <w:t>Tipo de poda realizada o por realizar en cada árbol y la respectiva justificación. d.</w:t>
      </w:r>
      <w:r w:rsidR="0063200A" w:rsidRPr="007C07F1">
        <w:rPr>
          <w:rFonts w:ascii="Palatino Linotype" w:eastAsia="Calibri" w:hAnsi="Palatino Linotype" w:cs="Arial"/>
          <w:i/>
          <w:szCs w:val="24"/>
          <w:lang w:eastAsia="es-ES"/>
        </w:rPr>
        <w:tab/>
        <w:t>Justificación de la realización de la poda en esta época del año. e.</w:t>
      </w:r>
      <w:r w:rsidR="0063200A" w:rsidRPr="007C07F1">
        <w:rPr>
          <w:rFonts w:ascii="Palatino Linotype" w:eastAsia="Calibri" w:hAnsi="Palatino Linotype" w:cs="Arial"/>
          <w:i/>
          <w:szCs w:val="24"/>
          <w:lang w:eastAsia="es-ES"/>
        </w:rPr>
        <w:tab/>
        <w:t>Enumeración y descripción de la maquinaria utilizada para la poda, la herramienta de corte, la herramienta y equipo de ascenso y descenso, el equipo y herramientas adicionales, el equipo de protección del personal técnico y los elementos de seguridad peatonal. f.</w:t>
      </w:r>
      <w:r w:rsidR="0063200A" w:rsidRPr="007C07F1">
        <w:rPr>
          <w:rFonts w:ascii="Palatino Linotype" w:eastAsia="Calibri" w:hAnsi="Palatino Linotype" w:cs="Arial"/>
          <w:i/>
          <w:szCs w:val="24"/>
          <w:lang w:eastAsia="es-ES"/>
        </w:rPr>
        <w:tab/>
        <w:t>Uso que se la dará al producto de la poda. g.</w:t>
      </w:r>
      <w:r w:rsidR="0063200A" w:rsidRPr="007C07F1">
        <w:rPr>
          <w:rFonts w:ascii="Palatino Linotype" w:eastAsia="Calibri" w:hAnsi="Palatino Linotype" w:cs="Arial"/>
          <w:i/>
          <w:szCs w:val="24"/>
          <w:lang w:eastAsia="es-ES"/>
        </w:rPr>
        <w:tab/>
        <w:t xml:space="preserve">Testigos fotográficos de la condición de los árboles antes y después de la poda, así como de los trabajos de </w:t>
      </w:r>
      <w:proofErr w:type="spellStart"/>
      <w:r w:rsidR="0063200A" w:rsidRPr="007C07F1">
        <w:rPr>
          <w:rFonts w:ascii="Palatino Linotype" w:eastAsia="Calibri" w:hAnsi="Palatino Linotype" w:cs="Arial"/>
          <w:i/>
          <w:szCs w:val="24"/>
          <w:lang w:eastAsia="es-ES"/>
        </w:rPr>
        <w:t>dictaminación</w:t>
      </w:r>
      <w:proofErr w:type="spellEnd"/>
      <w:r w:rsidR="0063200A" w:rsidRPr="007C07F1">
        <w:rPr>
          <w:rFonts w:ascii="Palatino Linotype" w:eastAsia="Calibri" w:hAnsi="Palatino Linotype" w:cs="Arial"/>
          <w:i/>
          <w:szCs w:val="24"/>
          <w:lang w:eastAsia="es-ES"/>
        </w:rPr>
        <w:t>, poda y recolección y uso del producto de la poda.” (Sic.)</w:t>
      </w:r>
    </w:p>
    <w:p w:rsidR="004E6C32" w:rsidRPr="007C07F1" w:rsidRDefault="004E6C32" w:rsidP="004E6C32">
      <w:pPr>
        <w:spacing w:after="0" w:line="360" w:lineRule="auto"/>
        <w:ind w:left="360"/>
        <w:contextualSpacing/>
        <w:jc w:val="both"/>
        <w:rPr>
          <w:rFonts w:ascii="Palatino Linotype" w:hAnsi="Palatino Linotype" w:cs="Arial"/>
          <w:sz w:val="24"/>
          <w:szCs w:val="24"/>
          <w:lang w:val="es-MX"/>
        </w:rPr>
      </w:pPr>
    </w:p>
    <w:p w:rsidR="004E6C32" w:rsidRPr="007C07F1" w:rsidRDefault="00440A27" w:rsidP="004C0634">
      <w:pPr>
        <w:numPr>
          <w:ilvl w:val="0"/>
          <w:numId w:val="1"/>
        </w:numPr>
        <w:spacing w:before="240" w:after="240" w:line="360" w:lineRule="auto"/>
        <w:ind w:left="426" w:right="616" w:hanging="426"/>
        <w:contextualSpacing/>
        <w:jc w:val="both"/>
        <w:rPr>
          <w:rFonts w:ascii="Palatino Linotype" w:eastAsia="Times New Roman" w:hAnsi="Palatino Linotype" w:cs="Arial"/>
          <w:i/>
          <w:lang w:eastAsia="es-ES"/>
        </w:rPr>
      </w:pPr>
      <w:r w:rsidRPr="007C07F1">
        <w:rPr>
          <w:rFonts w:ascii="Palatino Linotype" w:hAnsi="Palatino Linotype" w:cs="Arial"/>
          <w:sz w:val="24"/>
          <w:szCs w:val="24"/>
          <w:lang w:val="es-MX"/>
        </w:rPr>
        <w:lastRenderedPageBreak/>
        <w:t xml:space="preserve">El Sujeto Obligado dio como respuesta </w:t>
      </w:r>
      <w:r w:rsidR="00CB243B" w:rsidRPr="007C07F1">
        <w:rPr>
          <w:rFonts w:ascii="Palatino Linotype" w:hAnsi="Palatino Linotype" w:cs="Arial"/>
          <w:sz w:val="24"/>
          <w:szCs w:val="24"/>
          <w:lang w:val="es-MX"/>
        </w:rPr>
        <w:t xml:space="preserve">a cada uno de </w:t>
      </w:r>
      <w:r w:rsidRPr="007C07F1">
        <w:rPr>
          <w:rFonts w:ascii="Palatino Linotype" w:hAnsi="Palatino Linotype" w:cs="Arial"/>
          <w:sz w:val="24"/>
          <w:szCs w:val="24"/>
          <w:lang w:val="es-MX"/>
        </w:rPr>
        <w:t>lo</w:t>
      </w:r>
      <w:r w:rsidR="00CB243B" w:rsidRPr="007C07F1">
        <w:rPr>
          <w:rFonts w:ascii="Palatino Linotype" w:hAnsi="Palatino Linotype" w:cs="Arial"/>
          <w:sz w:val="24"/>
          <w:szCs w:val="24"/>
          <w:lang w:val="es-MX"/>
        </w:rPr>
        <w:t>s planteamiento lo</w:t>
      </w:r>
      <w:r w:rsidRPr="007C07F1">
        <w:rPr>
          <w:rFonts w:ascii="Palatino Linotype" w:hAnsi="Palatino Linotype" w:cs="Arial"/>
          <w:sz w:val="24"/>
          <w:szCs w:val="24"/>
          <w:lang w:val="es-MX"/>
        </w:rPr>
        <w:t xml:space="preserve"> siguiente</w:t>
      </w:r>
      <w:r w:rsidRPr="007C07F1">
        <w:rPr>
          <w:rFonts w:ascii="Palatino Linotype" w:hAnsi="Palatino Linotype" w:cs="Arial"/>
          <w:i/>
          <w:sz w:val="24"/>
          <w:szCs w:val="24"/>
          <w:lang w:val="es-MX"/>
        </w:rPr>
        <w:t>:</w:t>
      </w:r>
      <w:r w:rsidRPr="007C07F1">
        <w:rPr>
          <w:rFonts w:ascii="Palatino Linotype" w:eastAsia="Times New Roman" w:hAnsi="Palatino Linotype" w:cs="Arial"/>
          <w:sz w:val="24"/>
          <w:szCs w:val="24"/>
          <w:lang w:eastAsia="es-ES"/>
        </w:rPr>
        <w:t xml:space="preserve">     </w:t>
      </w:r>
      <w:r w:rsidR="004E6C32" w:rsidRPr="007C07F1">
        <w:rPr>
          <w:noProof/>
          <w:lang w:val="es-MX" w:eastAsia="es-MX"/>
        </w:rPr>
        <w:drawing>
          <wp:inline distT="0" distB="0" distL="0" distR="0" wp14:anchorId="4D9BE56F" wp14:editId="6FF56558">
            <wp:extent cx="4984750" cy="62738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890" t="9254" r="31998" b="12090"/>
                    <a:stretch/>
                  </pic:blipFill>
                  <pic:spPr bwMode="auto">
                    <a:xfrm>
                      <a:off x="0" y="0"/>
                      <a:ext cx="4989519" cy="6279802"/>
                    </a:xfrm>
                    <a:prstGeom prst="rect">
                      <a:avLst/>
                    </a:prstGeom>
                    <a:ln>
                      <a:noFill/>
                    </a:ln>
                    <a:extLst>
                      <a:ext uri="{53640926-AAD7-44D8-BBD7-CCE9431645EC}">
                        <a14:shadowObscured xmlns:a14="http://schemas.microsoft.com/office/drawing/2010/main"/>
                      </a:ext>
                    </a:extLst>
                  </pic:spPr>
                </pic:pic>
              </a:graphicData>
            </a:graphic>
          </wp:inline>
        </w:drawing>
      </w:r>
    </w:p>
    <w:p w:rsidR="004E6C32" w:rsidRPr="007C07F1" w:rsidRDefault="004E6C32" w:rsidP="00CB243B">
      <w:pPr>
        <w:tabs>
          <w:tab w:val="left" w:pos="4111"/>
        </w:tabs>
        <w:spacing w:before="240" w:after="240" w:line="360" w:lineRule="auto"/>
        <w:ind w:left="426" w:right="616"/>
        <w:jc w:val="both"/>
        <w:rPr>
          <w:rFonts w:ascii="Palatino Linotype" w:eastAsia="Times New Roman" w:hAnsi="Palatino Linotype" w:cs="Arial"/>
          <w:i/>
          <w:lang w:eastAsia="es-ES"/>
        </w:rPr>
      </w:pPr>
      <w:r w:rsidRPr="007C07F1">
        <w:rPr>
          <w:noProof/>
          <w:lang w:val="es-MX" w:eastAsia="es-MX"/>
        </w:rPr>
        <w:lastRenderedPageBreak/>
        <w:drawing>
          <wp:inline distT="0" distB="0" distL="0" distR="0" wp14:anchorId="2EEC4F5D" wp14:editId="7AD766AB">
            <wp:extent cx="4959350" cy="2692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16" t="26554" r="32451" b="45082"/>
                    <a:stretch/>
                  </pic:blipFill>
                  <pic:spPr bwMode="auto">
                    <a:xfrm>
                      <a:off x="0" y="0"/>
                      <a:ext cx="4969811" cy="2698079"/>
                    </a:xfrm>
                    <a:prstGeom prst="rect">
                      <a:avLst/>
                    </a:prstGeom>
                    <a:ln>
                      <a:noFill/>
                    </a:ln>
                    <a:extLst>
                      <a:ext uri="{53640926-AAD7-44D8-BBD7-CCE9431645EC}">
                        <a14:shadowObscured xmlns:a14="http://schemas.microsoft.com/office/drawing/2010/main"/>
                      </a:ext>
                    </a:extLst>
                  </pic:spPr>
                </pic:pic>
              </a:graphicData>
            </a:graphic>
          </wp:inline>
        </w:drawing>
      </w:r>
    </w:p>
    <w:p w:rsidR="00440A27" w:rsidRPr="007C07F1" w:rsidRDefault="00440A27" w:rsidP="003D042C">
      <w:pPr>
        <w:numPr>
          <w:ilvl w:val="0"/>
          <w:numId w:val="1"/>
        </w:numPr>
        <w:spacing w:before="240" w:after="240" w:line="360" w:lineRule="auto"/>
        <w:contextualSpacing/>
        <w:jc w:val="both"/>
        <w:rPr>
          <w:rFonts w:ascii="Palatino Linotype" w:hAnsi="Palatino Linotype" w:cs="Arial"/>
          <w:i/>
          <w:sz w:val="24"/>
          <w:szCs w:val="24"/>
          <w:lang w:val="es-MX"/>
        </w:rPr>
      </w:pPr>
      <w:r w:rsidRPr="007C07F1">
        <w:rPr>
          <w:rFonts w:ascii="Palatino Linotype" w:hAnsi="Palatino Linotype" w:cs="Arial"/>
          <w:sz w:val="24"/>
          <w:szCs w:val="24"/>
          <w:lang w:val="es-MX"/>
        </w:rPr>
        <w:t>En ese sentido,</w:t>
      </w:r>
      <w:r w:rsidRPr="007C07F1">
        <w:rPr>
          <w:rFonts w:ascii="Palatino Linotype" w:hAnsi="Palatino Linotype" w:cs="Arial"/>
          <w:b/>
          <w:lang w:val="es-MX"/>
        </w:rPr>
        <w:t xml:space="preserve"> </w:t>
      </w:r>
      <w:r w:rsidR="00CB243B" w:rsidRPr="007C07F1">
        <w:rPr>
          <w:rFonts w:ascii="Palatino Linotype" w:hAnsi="Palatino Linotype" w:cs="Arial"/>
          <w:sz w:val="24"/>
          <w:lang w:val="es-MX"/>
        </w:rPr>
        <w:t>la</w:t>
      </w:r>
      <w:r w:rsidRPr="007C07F1">
        <w:rPr>
          <w:rFonts w:ascii="Palatino Linotype" w:hAnsi="Palatino Linotype" w:cs="Arial"/>
          <w:sz w:val="24"/>
          <w:lang w:val="es-MX"/>
        </w:rPr>
        <w:t xml:space="preserve"> particular se inconformó en cuanto a la respuesta</w:t>
      </w:r>
      <w:r w:rsidR="00CB243B" w:rsidRPr="007C07F1">
        <w:rPr>
          <w:rFonts w:ascii="Palatino Linotype" w:hAnsi="Palatino Linotype" w:cs="Arial"/>
          <w:sz w:val="24"/>
          <w:lang w:val="es-MX"/>
        </w:rPr>
        <w:t xml:space="preserve">, misma que </w:t>
      </w:r>
      <w:r w:rsidRPr="007C07F1">
        <w:rPr>
          <w:rFonts w:ascii="Palatino Linotype" w:hAnsi="Palatino Linotype" w:cs="Arial"/>
          <w:sz w:val="24"/>
          <w:lang w:val="es-MX"/>
        </w:rPr>
        <w:t xml:space="preserve">señala como motivos de inconformidad </w:t>
      </w:r>
      <w:r w:rsidRPr="007C07F1">
        <w:rPr>
          <w:rFonts w:ascii="Palatino Linotype" w:eastAsia="Times New Roman" w:hAnsi="Palatino Linotype" w:cs="Times New Roman"/>
          <w:i/>
          <w:color w:val="000000"/>
          <w:sz w:val="24"/>
          <w:szCs w:val="24"/>
          <w:lang w:eastAsia="es-ES"/>
        </w:rPr>
        <w:t>“</w:t>
      </w:r>
      <w:r w:rsidR="00CB243B" w:rsidRPr="007C07F1">
        <w:rPr>
          <w:rFonts w:ascii="Palatino Linotype" w:hAnsi="Palatino Linotype" w:cs="Arial"/>
          <w:b/>
          <w:u w:val="single"/>
        </w:rPr>
        <w:t>La solicitud presentada se refiere a diversos aspectos relacionados con podas de árboles del parque del fraccionamiento El Porvenir, realizadas en la semana del 21 al 27 de mayo de 2018; sin embargo, la respuesta entregada por el sujeto obligado se refiere a los mismos aspectos, pero de un plazo distinto: del 21 al 27 de abril de 2018”.</w:t>
      </w:r>
    </w:p>
    <w:p w:rsidR="00CB243B" w:rsidRPr="007C07F1" w:rsidRDefault="00CB243B" w:rsidP="00CB243B">
      <w:pPr>
        <w:spacing w:before="240" w:after="240" w:line="360" w:lineRule="auto"/>
        <w:ind w:left="360"/>
        <w:contextualSpacing/>
        <w:jc w:val="both"/>
        <w:rPr>
          <w:rFonts w:ascii="Palatino Linotype" w:hAnsi="Palatino Linotype" w:cs="Arial"/>
          <w:i/>
          <w:sz w:val="24"/>
          <w:szCs w:val="24"/>
          <w:lang w:val="es-MX"/>
        </w:rPr>
      </w:pPr>
    </w:p>
    <w:p w:rsidR="00CB243B" w:rsidRPr="007C07F1" w:rsidRDefault="00CB243B" w:rsidP="00440A27">
      <w:pPr>
        <w:numPr>
          <w:ilvl w:val="0"/>
          <w:numId w:val="1"/>
        </w:numPr>
        <w:spacing w:after="0" w:line="360" w:lineRule="auto"/>
        <w:contextualSpacing/>
        <w:jc w:val="both"/>
        <w:rPr>
          <w:rFonts w:ascii="Palatino Linotype" w:eastAsia="Times New Roman" w:hAnsi="Palatino Linotype" w:cs="Arial"/>
          <w:sz w:val="24"/>
          <w:szCs w:val="24"/>
          <w:lang w:val="es-MX" w:eastAsia="es-ES"/>
        </w:rPr>
      </w:pPr>
      <w:r w:rsidRPr="007C07F1">
        <w:rPr>
          <w:rFonts w:ascii="Palatino Linotype" w:hAnsi="Palatino Linotype" w:cs="Arial"/>
          <w:sz w:val="24"/>
          <w:szCs w:val="24"/>
          <w:lang w:val="es-MX"/>
        </w:rPr>
        <w:t>Posteriormente el SUJETO OBLIGADO refiere en su informe justificado que  “</w:t>
      </w:r>
      <w:r w:rsidRPr="007C07F1">
        <w:rPr>
          <w:rFonts w:ascii="Palatino Linotype" w:hAnsi="Palatino Linotype" w:cs="Arial"/>
          <w:i/>
          <w:sz w:val="24"/>
          <w:szCs w:val="24"/>
          <w:lang w:val="es-MX"/>
        </w:rPr>
        <w:t xml:space="preserve">en la semana del 21 al 27 de mayo de 2018, no se recibió ninguna petición de poda ante esta Dirección de Medio Ambiente por parte de los vecinos del fraccionamiento EL Porvenir, para  realizar trabajos en el parque del mismo </w:t>
      </w:r>
      <w:r w:rsidR="00E06EDA" w:rsidRPr="007C07F1">
        <w:rPr>
          <w:rFonts w:ascii="Palatino Linotype" w:hAnsi="Palatino Linotype" w:cs="Arial"/>
          <w:i/>
          <w:sz w:val="24"/>
          <w:szCs w:val="24"/>
          <w:lang w:val="es-MX"/>
        </w:rPr>
        <w:t xml:space="preserve">fraccionamiento, por tal motivo no fue expedida ninguna </w:t>
      </w:r>
      <w:r w:rsidR="00E06EDA" w:rsidRPr="007C07F1">
        <w:rPr>
          <w:rFonts w:ascii="Palatino Linotype" w:hAnsi="Palatino Linotype" w:cs="Arial"/>
          <w:b/>
          <w:i/>
          <w:sz w:val="24"/>
          <w:szCs w:val="24"/>
          <w:lang w:val="es-MX"/>
        </w:rPr>
        <w:t>autorización de poda y/o derribe de árboles</w:t>
      </w:r>
      <w:r w:rsidR="00E06EDA" w:rsidRPr="007C07F1">
        <w:rPr>
          <w:rFonts w:ascii="Palatino Linotype" w:hAnsi="Palatino Linotype" w:cs="Arial"/>
          <w:i/>
          <w:sz w:val="24"/>
          <w:szCs w:val="24"/>
          <w:lang w:val="es-MX"/>
        </w:rPr>
        <w:t xml:space="preserve">, toda vez que se </w:t>
      </w:r>
      <w:r w:rsidR="00E06EDA" w:rsidRPr="007C07F1">
        <w:rPr>
          <w:rFonts w:ascii="Palatino Linotype" w:hAnsi="Palatino Linotype" w:cs="Arial"/>
          <w:i/>
          <w:sz w:val="24"/>
          <w:szCs w:val="24"/>
          <w:lang w:val="es-MX"/>
        </w:rPr>
        <w:lastRenderedPageBreak/>
        <w:t>encuentra en elaboración de Dictamen Técnico, por parte de un especialista en Arboricultura”.</w:t>
      </w:r>
      <w:r w:rsidR="00E06EDA" w:rsidRPr="007C07F1">
        <w:rPr>
          <w:rFonts w:ascii="Palatino Linotype" w:eastAsia="Times New Roman" w:hAnsi="Palatino Linotype" w:cs="Arial"/>
          <w:sz w:val="24"/>
          <w:szCs w:val="24"/>
          <w:lang w:val="es-MX" w:eastAsia="es-ES"/>
        </w:rPr>
        <w:t xml:space="preserve"> </w:t>
      </w:r>
    </w:p>
    <w:p w:rsidR="00E06EDA" w:rsidRPr="007C07F1" w:rsidRDefault="00E06EDA" w:rsidP="00E06EDA">
      <w:pPr>
        <w:pStyle w:val="Prrafodelista"/>
        <w:rPr>
          <w:rFonts w:ascii="Palatino Linotype" w:hAnsi="Palatino Linotype" w:cs="Arial"/>
          <w:lang w:val="es-MX"/>
        </w:rPr>
      </w:pPr>
    </w:p>
    <w:p w:rsidR="00E06EDA" w:rsidRPr="007C07F1" w:rsidRDefault="00E06EDA" w:rsidP="00440A27">
      <w:pPr>
        <w:numPr>
          <w:ilvl w:val="0"/>
          <w:numId w:val="1"/>
        </w:numPr>
        <w:spacing w:after="0" w:line="360" w:lineRule="auto"/>
        <w:contextualSpacing/>
        <w:jc w:val="both"/>
        <w:rPr>
          <w:rFonts w:ascii="Palatino Linotype" w:eastAsia="Times New Roman" w:hAnsi="Palatino Linotype" w:cs="Arial"/>
          <w:sz w:val="24"/>
          <w:szCs w:val="24"/>
          <w:lang w:val="es-MX" w:eastAsia="es-ES"/>
        </w:rPr>
      </w:pPr>
      <w:r w:rsidRPr="007C07F1">
        <w:rPr>
          <w:rFonts w:ascii="Palatino Linotype" w:eastAsia="Times New Roman" w:hAnsi="Palatino Linotype" w:cs="Arial"/>
          <w:sz w:val="24"/>
          <w:szCs w:val="24"/>
          <w:lang w:val="es-MX" w:eastAsia="es-ES"/>
        </w:rPr>
        <w:t>De lo anteriormente expuesto, se debió de haber orientado al particular que si de contar con pleno conocimiento de que efectivamente</w:t>
      </w:r>
      <w:r w:rsidR="005C338C" w:rsidRPr="007C07F1">
        <w:rPr>
          <w:rFonts w:ascii="Palatino Linotype" w:eastAsia="Times New Roman" w:hAnsi="Palatino Linotype" w:cs="Arial"/>
          <w:sz w:val="24"/>
          <w:szCs w:val="24"/>
          <w:lang w:val="es-MX" w:eastAsia="es-ES"/>
        </w:rPr>
        <w:t xml:space="preserve"> se haya realizado </w:t>
      </w:r>
      <w:r w:rsidR="005C338C" w:rsidRPr="007C07F1">
        <w:rPr>
          <w:rFonts w:ascii="Palatino Linotype" w:eastAsia="Times New Roman" w:hAnsi="Palatino Linotype" w:cs="Arial"/>
          <w:b/>
          <w:sz w:val="24"/>
          <w:szCs w:val="24"/>
          <w:lang w:val="es-MX" w:eastAsia="es-ES"/>
        </w:rPr>
        <w:t>el corte, arranque, derribe o tala de árboles en el parque de referencia</w:t>
      </w:r>
      <w:r w:rsidR="005C338C" w:rsidRPr="007C07F1">
        <w:rPr>
          <w:rFonts w:ascii="Palatino Linotype" w:eastAsia="Times New Roman" w:hAnsi="Palatino Linotype" w:cs="Arial"/>
          <w:sz w:val="24"/>
          <w:szCs w:val="24"/>
          <w:lang w:val="es-MX" w:eastAsia="es-ES"/>
        </w:rPr>
        <w:t xml:space="preserve"> y de acuerdo a la respuesta obtenida por el Sujeto Obligado, éste podrá realizar su denuncia correspondiente ante la Procuraduría Federal del Medio Ambiente, lo anterior afecto de que se realicen las investigaciones necesarias y se deslinden responsabilidades. </w:t>
      </w:r>
    </w:p>
    <w:p w:rsidR="00CB243B" w:rsidRPr="007C07F1" w:rsidRDefault="00CB243B" w:rsidP="00CB243B">
      <w:pPr>
        <w:pStyle w:val="Prrafodelista"/>
        <w:rPr>
          <w:rFonts w:ascii="Palatino Linotype" w:hAnsi="Palatino Linotype" w:cs="Arial"/>
          <w:lang w:val="es-MX"/>
        </w:rPr>
      </w:pPr>
    </w:p>
    <w:p w:rsidR="00CB243B" w:rsidRPr="007C07F1" w:rsidRDefault="005C338C" w:rsidP="00440A27">
      <w:pPr>
        <w:numPr>
          <w:ilvl w:val="0"/>
          <w:numId w:val="1"/>
        </w:numPr>
        <w:spacing w:after="0" w:line="360" w:lineRule="auto"/>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Lo anterior es así, que de acuerdo a lo manifestado por el Sujeto Obl</w:t>
      </w:r>
      <w:r w:rsidR="00BA47AC" w:rsidRPr="007C07F1">
        <w:rPr>
          <w:rFonts w:ascii="Palatino Linotype" w:hAnsi="Palatino Linotype" w:cs="Arial"/>
          <w:sz w:val="24"/>
          <w:szCs w:val="24"/>
          <w:lang w:val="es-MX"/>
        </w:rPr>
        <w:t>igado se entiende que é</w:t>
      </w:r>
      <w:r w:rsidRPr="007C07F1">
        <w:rPr>
          <w:rFonts w:ascii="Palatino Linotype" w:hAnsi="Palatino Linotype" w:cs="Arial"/>
          <w:sz w:val="24"/>
          <w:szCs w:val="24"/>
          <w:lang w:val="es-MX"/>
        </w:rPr>
        <w:t>ste no tiene conocimiento de ninguna actividad relativa a poda o derribe de árboles en el parque del fraccionamiento “El Porvenir”</w:t>
      </w:r>
      <w:r w:rsidR="00BA47AC" w:rsidRPr="007C07F1">
        <w:rPr>
          <w:rFonts w:ascii="Palatino Linotype" w:hAnsi="Palatino Linotype" w:cs="Arial"/>
          <w:sz w:val="24"/>
          <w:szCs w:val="24"/>
          <w:lang w:val="es-MX"/>
        </w:rPr>
        <w:t xml:space="preserve"> ya que informa que se está en proceso de elaboración un dictamen técnico, pero no se menciona con que finalidad se está realizando dicha acción, ni mucho menos se menciona en qué plazo estará concluido.</w:t>
      </w:r>
    </w:p>
    <w:p w:rsidR="00BA47AC" w:rsidRPr="007C07F1" w:rsidRDefault="00BA47AC" w:rsidP="00BA47AC">
      <w:pPr>
        <w:pStyle w:val="Prrafodelista"/>
        <w:rPr>
          <w:rFonts w:ascii="Palatino Linotype" w:hAnsi="Palatino Linotype" w:cs="Arial"/>
          <w:lang w:val="es-MX"/>
        </w:rPr>
      </w:pPr>
    </w:p>
    <w:p w:rsidR="00CB243B" w:rsidRPr="007C07F1" w:rsidRDefault="00BA47AC" w:rsidP="00BA47AC">
      <w:pPr>
        <w:numPr>
          <w:ilvl w:val="0"/>
          <w:numId w:val="1"/>
        </w:numPr>
        <w:spacing w:after="0" w:line="360" w:lineRule="auto"/>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Luego entonces</w:t>
      </w:r>
      <w:r w:rsidR="00156E93" w:rsidRPr="007C07F1">
        <w:rPr>
          <w:rFonts w:ascii="Palatino Linotype" w:hAnsi="Palatino Linotype" w:cs="Arial"/>
          <w:sz w:val="24"/>
          <w:szCs w:val="24"/>
          <w:lang w:val="es-MX"/>
        </w:rPr>
        <w:t>,</w:t>
      </w:r>
      <w:r w:rsidRPr="007C07F1">
        <w:rPr>
          <w:rFonts w:ascii="Palatino Linotype" w:hAnsi="Palatino Linotype" w:cs="Arial"/>
          <w:sz w:val="24"/>
          <w:szCs w:val="24"/>
          <w:lang w:val="es-MX"/>
        </w:rPr>
        <w:t xml:space="preserve"> derivado de la solicitud realizada por el particular es muy probable que éste tenga pleno conocimiento de alguna actividad que se esté realizando de manera indebida y es por esa razón que está solicitando la información al Sujeto Obligado.</w:t>
      </w:r>
      <w:r w:rsidR="00156E93" w:rsidRPr="007C07F1">
        <w:rPr>
          <w:rFonts w:ascii="Palatino Linotype" w:hAnsi="Palatino Linotype" w:cs="Arial"/>
          <w:sz w:val="24"/>
          <w:szCs w:val="24"/>
          <w:lang w:val="es-MX"/>
        </w:rPr>
        <w:t xml:space="preserve"> </w:t>
      </w:r>
    </w:p>
    <w:p w:rsidR="00CB243B" w:rsidRPr="007C07F1" w:rsidRDefault="00CB243B" w:rsidP="00BA47AC">
      <w:pPr>
        <w:spacing w:after="0" w:line="360" w:lineRule="auto"/>
        <w:ind w:left="360"/>
        <w:contextualSpacing/>
        <w:jc w:val="both"/>
        <w:rPr>
          <w:rFonts w:ascii="Palatino Linotype" w:hAnsi="Palatino Linotype" w:cs="Arial"/>
          <w:sz w:val="24"/>
          <w:szCs w:val="24"/>
          <w:lang w:val="es-MX"/>
        </w:rPr>
      </w:pPr>
    </w:p>
    <w:p w:rsidR="00BA47AC" w:rsidRPr="007C07F1" w:rsidRDefault="00156E93" w:rsidP="00156E93">
      <w:pPr>
        <w:pStyle w:val="Ttulo2"/>
        <w:numPr>
          <w:ilvl w:val="0"/>
          <w:numId w:val="2"/>
        </w:numPr>
        <w:rPr>
          <w:rFonts w:ascii="Palatino Linotype" w:hAnsi="Palatino Linotype"/>
          <w:b/>
          <w:color w:val="auto"/>
          <w:sz w:val="24"/>
          <w:szCs w:val="24"/>
          <w:lang w:val="es-MX"/>
        </w:rPr>
      </w:pPr>
      <w:bookmarkStart w:id="3" w:name="_Toc522548640"/>
      <w:r w:rsidRPr="007C07F1">
        <w:rPr>
          <w:rFonts w:ascii="Palatino Linotype" w:hAnsi="Palatino Linotype"/>
          <w:b/>
          <w:color w:val="auto"/>
          <w:sz w:val="24"/>
          <w:szCs w:val="24"/>
          <w:lang w:val="es-MX"/>
        </w:rPr>
        <w:lastRenderedPageBreak/>
        <w:t>La figura de actos consentidos.</w:t>
      </w:r>
      <w:bookmarkEnd w:id="3"/>
    </w:p>
    <w:p w:rsidR="00156E93" w:rsidRPr="007C07F1" w:rsidRDefault="00156E93" w:rsidP="00156E93">
      <w:pPr>
        <w:rPr>
          <w:lang w:val="es-MX"/>
        </w:rPr>
      </w:pPr>
    </w:p>
    <w:p w:rsidR="00CB243B" w:rsidRPr="007C07F1" w:rsidRDefault="00CB243B" w:rsidP="00CB243B">
      <w:pPr>
        <w:pStyle w:val="Prrafodelista"/>
        <w:rPr>
          <w:rFonts w:ascii="Palatino Linotype" w:hAnsi="Palatino Linotype" w:cs="Arial"/>
          <w:lang w:val="es-MX"/>
        </w:rPr>
      </w:pPr>
    </w:p>
    <w:p w:rsidR="00440A27" w:rsidRPr="007C07F1" w:rsidRDefault="00156E93" w:rsidP="00B82F80">
      <w:pPr>
        <w:numPr>
          <w:ilvl w:val="0"/>
          <w:numId w:val="1"/>
        </w:numPr>
        <w:spacing w:after="0" w:line="360" w:lineRule="auto"/>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Por otro lado,</w:t>
      </w:r>
      <w:r w:rsidR="00440A27" w:rsidRPr="007C07F1">
        <w:rPr>
          <w:rFonts w:ascii="Palatino Linotype" w:hAnsi="Palatino Linotype" w:cs="Arial"/>
          <w:sz w:val="24"/>
          <w:szCs w:val="24"/>
          <w:lang w:val="es-MX"/>
        </w:rPr>
        <w:t xml:space="preserve"> es de destacar, que el Sujeto Obligado atiende la solicitud, sin embargo, en el estudio y desarrollo de dicha resolución fueron invocados los llamados “actos consentidos”, tal y como se observa en las siguientes líneas de la resolución en comento:</w:t>
      </w:r>
    </w:p>
    <w:p w:rsidR="00156E93" w:rsidRPr="007C07F1" w:rsidRDefault="00156E93" w:rsidP="00156E93">
      <w:pPr>
        <w:spacing w:after="0" w:line="360" w:lineRule="auto"/>
        <w:ind w:left="360"/>
        <w:contextualSpacing/>
        <w:jc w:val="both"/>
        <w:rPr>
          <w:rFonts w:ascii="Palatino Linotype" w:hAnsi="Palatino Linotype" w:cs="Arial"/>
          <w:sz w:val="24"/>
          <w:szCs w:val="24"/>
          <w:lang w:val="es-MX"/>
        </w:rPr>
      </w:pP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r w:rsidRPr="007C07F1">
        <w:rPr>
          <w:rFonts w:ascii="Palatino Linotype" w:hAnsi="Palatino Linotype" w:cs="Arial"/>
          <w:i/>
          <w:sz w:val="24"/>
          <w:szCs w:val="24"/>
          <w:lang w:val="es-MX"/>
        </w:rPr>
        <w:t xml:space="preserve">Derivado de lo anterior, se colige que La Recurrente está conforme con la respuesta emitida por El Sujeto Obligado, ya que expresamente manifestó en dichos motivos que la respuesta entregada por El Sujeto Obligado se refiere a los mismos aspectos, pero de un plazo distinto: del 21 al 27 de abril de 2018; toda vez que no impugnó lo relativo a dichas cuestiones. Por lo que se considera que La Recurrente consintió la respuesta. </w:t>
      </w: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r w:rsidRPr="007C07F1">
        <w:rPr>
          <w:rFonts w:ascii="Palatino Linotype" w:hAnsi="Palatino Linotype" w:cs="Arial"/>
          <w:i/>
          <w:sz w:val="24"/>
          <w:szCs w:val="24"/>
          <w:lang w:val="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r w:rsidRPr="007C07F1">
        <w:rPr>
          <w:rFonts w:ascii="Palatino Linotype" w:hAnsi="Palatino Linotype" w:cs="Arial"/>
          <w:i/>
          <w:sz w:val="24"/>
          <w:szCs w:val="24"/>
          <w:lang w:val="es-MX"/>
        </w:rPr>
        <w:t xml:space="preserve">“REVISIÓN EN AMPARO. LOS RESOLUTIVOS NO COMBATIDOS DEBEN DECLARARSE FIRMES. Cuando algún resolutivo de la sentencia impugnada afecta a </w:t>
      </w:r>
      <w:r w:rsidRPr="007C07F1">
        <w:rPr>
          <w:rFonts w:ascii="Palatino Linotype" w:hAnsi="Palatino Linotype" w:cs="Arial"/>
          <w:i/>
          <w:sz w:val="24"/>
          <w:szCs w:val="24"/>
          <w:lang w:val="es-MX"/>
        </w:rPr>
        <w:lastRenderedPageBreak/>
        <w:t>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r w:rsidRPr="007C07F1">
        <w:rPr>
          <w:rFonts w:ascii="Palatino Linotype" w:hAnsi="Palatino Linotype" w:cs="Arial"/>
          <w:i/>
          <w:sz w:val="24"/>
          <w:szCs w:val="24"/>
          <w:lang w:val="es-MX"/>
        </w:rPr>
        <w:t>Así, la parte de la solicitud sobre la que no se expresó inconformidad, debe declararse consentida por la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r w:rsidRPr="007C07F1">
        <w:rPr>
          <w:rFonts w:ascii="Palatino Linotype" w:hAnsi="Palatino Linotype" w:cs="Arial"/>
          <w:i/>
          <w:sz w:val="24"/>
          <w:szCs w:val="24"/>
          <w:lang w:val="es-MX"/>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p>
    <w:p w:rsidR="00156E93" w:rsidRPr="007C07F1" w:rsidRDefault="00156E93" w:rsidP="00156E93">
      <w:pPr>
        <w:spacing w:after="0" w:line="360" w:lineRule="auto"/>
        <w:ind w:left="360"/>
        <w:contextualSpacing/>
        <w:jc w:val="both"/>
        <w:rPr>
          <w:rFonts w:ascii="Palatino Linotype" w:hAnsi="Palatino Linotype" w:cs="Arial"/>
          <w:i/>
          <w:sz w:val="24"/>
          <w:szCs w:val="24"/>
          <w:lang w:val="es-MX"/>
        </w:rPr>
      </w:pPr>
      <w:r w:rsidRPr="007C07F1">
        <w:rPr>
          <w:rFonts w:ascii="Palatino Linotype" w:hAnsi="Palatino Linotype" w:cs="Arial"/>
          <w:i/>
          <w:sz w:val="24"/>
          <w:szCs w:val="24"/>
          <w:lang w:val="es-MX"/>
        </w:rPr>
        <w:t>No obstante, como ya ha quedado establecido, La Recurrente se inconforma únicamente por el período solicitado de la información (de la semana del 21 al 27 de mayo de 2018), por considerar que la información otorgada por El Sujeto Obligado no corresponde con lo solicitado.</w:t>
      </w:r>
    </w:p>
    <w:p w:rsidR="00440A27" w:rsidRPr="007C07F1" w:rsidRDefault="00440A27" w:rsidP="00440A27">
      <w:pPr>
        <w:pStyle w:val="Prrafodelista"/>
        <w:numPr>
          <w:ilvl w:val="0"/>
          <w:numId w:val="1"/>
        </w:numPr>
        <w:tabs>
          <w:tab w:val="left" w:pos="8080"/>
        </w:tabs>
        <w:spacing w:before="100" w:beforeAutospacing="1" w:after="100" w:afterAutospacing="1" w:line="360" w:lineRule="auto"/>
        <w:ind w:right="49"/>
        <w:jc w:val="both"/>
        <w:rPr>
          <w:rFonts w:ascii="Palatino Linotype" w:hAnsi="Palatino Linotype" w:cs="Arial"/>
          <w:lang w:val="es-MX"/>
        </w:rPr>
      </w:pPr>
      <w:r w:rsidRPr="007C07F1">
        <w:rPr>
          <w:rFonts w:ascii="Palatino Linotype" w:hAnsi="Palatino Linotype" w:cs="Arial"/>
          <w:lang w:val="es-MX"/>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7C07F1">
        <w:rPr>
          <w:rFonts w:ascii="Palatino Linotype" w:eastAsia="Calibri" w:hAnsi="Palatino Linotype"/>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7C07F1">
        <w:rPr>
          <w:rFonts w:ascii="Palatino Linotype" w:eastAsia="Calibri" w:hAnsi="Palatino Linotype"/>
          <w:b/>
        </w:rPr>
        <w:t>SUJETO OBLIGADO</w:t>
      </w:r>
      <w:r w:rsidRPr="007C07F1">
        <w:rPr>
          <w:rFonts w:ascii="Palatino Linotype" w:eastAsia="Calibri" w:hAnsi="Palatino Linotype"/>
        </w:rPr>
        <w:t xml:space="preserve"> ha dado respuesta a la solicitud de información en lo particular, tan es así que al analizar la respuesta emitida se concluyó que colmó con el derecho de acceso a la información, lo que en mi parecer considero, es innecesario señalar la figura de actos consentidos, éste instituto como órgano garante, es su deber velar por el cabal cumplimiento al derecho humano del acceso a la información, mas no limitarlo invocando el multicitado argumento de actos consentidos.</w:t>
      </w:r>
    </w:p>
    <w:p w:rsidR="00440A27" w:rsidRPr="007C07F1" w:rsidRDefault="00440A27" w:rsidP="00440A27">
      <w:pPr>
        <w:spacing w:before="240" w:after="240" w:line="360" w:lineRule="auto"/>
        <w:ind w:left="360" w:right="49"/>
        <w:contextualSpacing/>
        <w:jc w:val="both"/>
        <w:rPr>
          <w:rFonts w:ascii="Palatino Linotype" w:hAnsi="Palatino Linotype" w:cs="Arial"/>
          <w:sz w:val="24"/>
          <w:szCs w:val="24"/>
          <w:lang w:val="es-MX"/>
        </w:rPr>
      </w:pPr>
    </w:p>
    <w:p w:rsidR="00440A27" w:rsidRPr="007C07F1" w:rsidRDefault="00440A27" w:rsidP="00440A27">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4" w:name="_Toc522548641"/>
      <w:r w:rsidRPr="007C07F1">
        <w:rPr>
          <w:rFonts w:ascii="Palatino Linotype" w:eastAsiaTheme="majorEastAsia" w:hAnsi="Palatino Linotype" w:cstheme="majorBidi"/>
          <w:b/>
          <w:sz w:val="24"/>
          <w:szCs w:val="24"/>
          <w:lang w:val="es-MX"/>
        </w:rPr>
        <w:lastRenderedPageBreak/>
        <w:t>Los actos consentidos no deben invocarse en el derecho fundamental de acceder a la información pública gubernamental.</w:t>
      </w:r>
      <w:bookmarkEnd w:id="4"/>
    </w:p>
    <w:p w:rsidR="00440A27" w:rsidRPr="007C07F1" w:rsidRDefault="00440A27" w:rsidP="00440A27">
      <w:pPr>
        <w:spacing w:after="0" w:line="360" w:lineRule="auto"/>
        <w:ind w:left="1080"/>
        <w:contextualSpacing/>
        <w:jc w:val="both"/>
        <w:rPr>
          <w:rFonts w:ascii="Palatino Linotype" w:hAnsi="Palatino Linotype" w:cs="Arial"/>
          <w:b/>
          <w:sz w:val="24"/>
          <w:szCs w:val="24"/>
          <w:lang w:val="es-MX"/>
        </w:rPr>
      </w:pPr>
    </w:p>
    <w:p w:rsidR="00440A27" w:rsidRPr="007C07F1" w:rsidRDefault="00440A27" w:rsidP="00440A27">
      <w:pPr>
        <w:numPr>
          <w:ilvl w:val="0"/>
          <w:numId w:val="1"/>
        </w:numPr>
        <w:spacing w:after="0" w:line="360" w:lineRule="auto"/>
        <w:ind w:left="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En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7C07F1">
        <w:rPr>
          <w:rFonts w:ascii="Palatino Linotype" w:hAnsi="Palatino Linotype" w:cs="Arial"/>
          <w:b/>
          <w:sz w:val="24"/>
          <w:szCs w:val="24"/>
          <w:lang w:val="es-MX"/>
        </w:rPr>
        <w:t>acudir a un profesionista del derecho</w:t>
      </w:r>
      <w:r w:rsidRPr="007C07F1">
        <w:rPr>
          <w:rFonts w:ascii="Palatino Linotype" w:hAnsi="Palatino Linotype" w:cs="Arial"/>
          <w:sz w:val="24"/>
          <w:szCs w:val="24"/>
          <w:lang w:val="es-MX"/>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40A27" w:rsidRPr="007C07F1" w:rsidRDefault="00440A27" w:rsidP="00440A27">
      <w:pPr>
        <w:spacing w:after="0" w:line="360" w:lineRule="auto"/>
        <w:ind w:left="426"/>
        <w:contextualSpacing/>
        <w:jc w:val="both"/>
        <w:rPr>
          <w:rFonts w:ascii="Palatino Linotype" w:hAnsi="Palatino Linotype" w:cs="Arial"/>
          <w:sz w:val="24"/>
          <w:szCs w:val="24"/>
          <w:lang w:val="es-MX"/>
        </w:rPr>
      </w:pPr>
    </w:p>
    <w:p w:rsidR="00440A27" w:rsidRPr="007C07F1" w:rsidRDefault="00440A27" w:rsidP="00440A27">
      <w:pPr>
        <w:numPr>
          <w:ilvl w:val="0"/>
          <w:numId w:val="1"/>
        </w:numPr>
        <w:spacing w:after="0" w:line="360" w:lineRule="auto"/>
        <w:ind w:left="426" w:hanging="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lastRenderedPageBreak/>
        <w:t xml:space="preserve">La figura de la suplencia de la queja, para Héctor </w:t>
      </w:r>
      <w:proofErr w:type="spellStart"/>
      <w:r w:rsidRPr="007C07F1">
        <w:rPr>
          <w:rFonts w:ascii="Palatino Linotype" w:hAnsi="Palatino Linotype" w:cs="Arial"/>
          <w:sz w:val="24"/>
          <w:szCs w:val="24"/>
          <w:lang w:val="es-MX"/>
        </w:rPr>
        <w:t>Fix</w:t>
      </w:r>
      <w:proofErr w:type="spellEnd"/>
      <w:r w:rsidRPr="007C07F1">
        <w:rPr>
          <w:rFonts w:ascii="Palatino Linotype" w:hAnsi="Palatino Linotype" w:cs="Arial"/>
          <w:sz w:val="24"/>
          <w:szCs w:val="24"/>
          <w:lang w:val="es-MX"/>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7C07F1">
        <w:rPr>
          <w:rFonts w:ascii="Palatino Linotype" w:hAnsi="Palatino Linotype" w:cs="Arial"/>
          <w:vertAlign w:val="superscript"/>
          <w:lang w:val="es-MX"/>
        </w:rPr>
        <w:footnoteReference w:id="1"/>
      </w:r>
      <w:r w:rsidRPr="007C07F1">
        <w:rPr>
          <w:rFonts w:ascii="Palatino Linotype" w:hAnsi="Palatino Linotype" w:cs="Arial"/>
          <w:sz w:val="24"/>
          <w:szCs w:val="24"/>
          <w:lang w:val="es-MX"/>
        </w:rPr>
        <w:t xml:space="preserve"> Según este mismo autor, “…es siempre obligatoria… respecto de los errores o defectos de los conceptos de violación expresados en la demanda, así como los de los agravios formulados en los recursos que el mismo ordenamiento establece”.</w:t>
      </w:r>
      <w:r w:rsidRPr="007C07F1">
        <w:rPr>
          <w:rFonts w:ascii="Palatino Linotype" w:hAnsi="Palatino Linotype" w:cs="Arial"/>
          <w:vertAlign w:val="superscript"/>
          <w:lang w:val="es-MX"/>
        </w:rPr>
        <w:footnoteReference w:id="2"/>
      </w:r>
      <w:r w:rsidRPr="007C07F1">
        <w:rPr>
          <w:rFonts w:ascii="Palatino Linotype" w:hAnsi="Palatino Linotype" w:cs="Arial"/>
          <w:sz w:val="24"/>
          <w:szCs w:val="24"/>
          <w:lang w:val="es-MX"/>
        </w:rPr>
        <w:t xml:space="preserve"> </w:t>
      </w:r>
    </w:p>
    <w:p w:rsidR="00440A27" w:rsidRPr="007C07F1" w:rsidRDefault="00440A27" w:rsidP="00440A27">
      <w:pPr>
        <w:spacing w:line="360" w:lineRule="auto"/>
        <w:ind w:left="720"/>
        <w:contextualSpacing/>
        <w:jc w:val="both"/>
        <w:rPr>
          <w:rFonts w:ascii="Palatino Linotype" w:hAnsi="Palatino Linotype" w:cs="Arial"/>
          <w:sz w:val="24"/>
          <w:szCs w:val="24"/>
          <w:lang w:val="es-MX"/>
        </w:rPr>
      </w:pPr>
    </w:p>
    <w:p w:rsidR="00440A27" w:rsidRPr="007C07F1" w:rsidRDefault="00440A27" w:rsidP="00440A27">
      <w:pPr>
        <w:numPr>
          <w:ilvl w:val="0"/>
          <w:numId w:val="1"/>
        </w:numPr>
        <w:spacing w:after="0" w:line="360" w:lineRule="auto"/>
        <w:ind w:left="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40A27" w:rsidRPr="007C07F1" w:rsidRDefault="00440A27" w:rsidP="00440A27">
      <w:pPr>
        <w:spacing w:after="0" w:line="360" w:lineRule="auto"/>
        <w:jc w:val="both"/>
        <w:rPr>
          <w:rFonts w:ascii="Palatino Linotype" w:hAnsi="Palatino Linotype" w:cs="Arial"/>
          <w:sz w:val="24"/>
          <w:szCs w:val="24"/>
          <w:lang w:val="es-MX"/>
        </w:rPr>
      </w:pPr>
    </w:p>
    <w:p w:rsidR="00440A27" w:rsidRPr="007C07F1" w:rsidRDefault="00440A27" w:rsidP="00440A27">
      <w:pPr>
        <w:numPr>
          <w:ilvl w:val="0"/>
          <w:numId w:val="1"/>
        </w:numPr>
        <w:spacing w:after="0" w:line="360" w:lineRule="auto"/>
        <w:ind w:left="426" w:hanging="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No satisfecho con lo anterior, es necesario señalar que en materia del derecho de acceso a la información pública, tiene una justificación clara y precisa que se deriva de un aspecto de singular importancia, ya que lo que tratamos y </w:t>
      </w:r>
      <w:r w:rsidRPr="007C07F1">
        <w:rPr>
          <w:rFonts w:ascii="Palatino Linotype" w:hAnsi="Palatino Linotype" w:cs="Arial"/>
          <w:sz w:val="24"/>
          <w:szCs w:val="24"/>
          <w:lang w:val="es-MX"/>
        </w:rPr>
        <w:lastRenderedPageBreak/>
        <w:t xml:space="preserve">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7C07F1">
        <w:rPr>
          <w:rFonts w:ascii="Palatino Linotype" w:hAnsi="Palatino Linotype" w:cs="Arial"/>
          <w:b/>
          <w:sz w:val="24"/>
          <w:szCs w:val="24"/>
          <w:lang w:val="es-MX"/>
        </w:rPr>
        <w:t>garantía de los derechos humanos</w:t>
      </w:r>
      <w:r w:rsidRPr="007C07F1">
        <w:rPr>
          <w:rFonts w:ascii="Palatino Linotype" w:hAnsi="Palatino Linotype" w:cs="Arial"/>
          <w:sz w:val="24"/>
          <w:szCs w:val="24"/>
          <w:lang w:val="es-MX"/>
        </w:rPr>
        <w:t>, de tal forma que cualquier esfuerzo que se haga en el sentido de cumplir con dicho mandato no resulta ocioso ni sobra sino demuestra el grado de compromiso de la autoridad con este aspecto toral de la reforma constitucional del 10 de junio de 2011.</w:t>
      </w:r>
    </w:p>
    <w:p w:rsidR="00440A27" w:rsidRPr="007C07F1" w:rsidRDefault="00440A27" w:rsidP="00440A27">
      <w:pPr>
        <w:spacing w:after="0" w:line="360" w:lineRule="auto"/>
        <w:jc w:val="both"/>
        <w:rPr>
          <w:rFonts w:ascii="Palatino Linotype" w:hAnsi="Palatino Linotype" w:cs="Arial"/>
          <w:sz w:val="24"/>
          <w:szCs w:val="24"/>
          <w:lang w:val="es-MX"/>
        </w:rPr>
      </w:pPr>
    </w:p>
    <w:p w:rsidR="00440A27" w:rsidRPr="007C07F1" w:rsidRDefault="00440A27" w:rsidP="00440A27">
      <w:pPr>
        <w:numPr>
          <w:ilvl w:val="0"/>
          <w:numId w:val="1"/>
        </w:numPr>
        <w:spacing w:after="0" w:line="360" w:lineRule="auto"/>
        <w:ind w:left="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En este sentido el Dr. Miguel Carbonell ha señalado que:</w:t>
      </w:r>
    </w:p>
    <w:p w:rsidR="00440A27" w:rsidRPr="007C07F1" w:rsidRDefault="00440A27" w:rsidP="00440A27">
      <w:pPr>
        <w:spacing w:after="0" w:line="360" w:lineRule="auto"/>
        <w:ind w:left="426"/>
        <w:contextualSpacing/>
        <w:jc w:val="both"/>
        <w:rPr>
          <w:rFonts w:ascii="Palatino Linotype" w:hAnsi="Palatino Linotype" w:cs="Arial"/>
          <w:sz w:val="24"/>
          <w:szCs w:val="24"/>
          <w:lang w:val="es-MX"/>
        </w:rPr>
      </w:pPr>
    </w:p>
    <w:p w:rsidR="00440A27" w:rsidRPr="007C07F1" w:rsidRDefault="00440A27" w:rsidP="00440A27">
      <w:pPr>
        <w:spacing w:after="0" w:line="360" w:lineRule="auto"/>
        <w:ind w:left="426" w:right="61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“Queda claro, en consecuencia, que las obligaciones de promoción, respeto, protección y garantía de los derechos corren a cargo de todos los poderes, incluso </w:t>
      </w:r>
      <w:r w:rsidRPr="007C07F1">
        <w:rPr>
          <w:rFonts w:ascii="Palatino Linotype" w:hAnsi="Palatino Linotype" w:cs="Arial"/>
          <w:b/>
          <w:sz w:val="24"/>
          <w:szCs w:val="24"/>
          <w:lang w:val="es-MX"/>
        </w:rPr>
        <w:t>considerando que algún nivel de gobierno tenga obligaciones reforzadas hacia ciertos derechos.</w:t>
      </w:r>
      <w:r w:rsidRPr="007C07F1">
        <w:rPr>
          <w:rFonts w:ascii="Palatino Linotype" w:hAnsi="Palatino Linotype" w:cs="Arial"/>
          <w:sz w:val="24"/>
          <w:szCs w:val="24"/>
          <w:lang w:val="es-MX"/>
        </w:rPr>
        <w:t xml:space="preserve"> A partir de tales deberes generales, podemos afirmar que las autoridades de todos los niveles de gobierno también tienen la obligación positiva de </w:t>
      </w:r>
      <w:r w:rsidRPr="007C07F1">
        <w:rPr>
          <w:rFonts w:ascii="Palatino Linotype" w:hAnsi="Palatino Linotype" w:cs="Arial"/>
          <w:b/>
          <w:sz w:val="24"/>
          <w:szCs w:val="24"/>
          <w:lang w:val="es-MX"/>
        </w:rPr>
        <w:t>tomar todas las medidas que sean pertinentes para tutelar y hacer eficaz un derecho</w:t>
      </w:r>
      <w:r w:rsidRPr="007C07F1">
        <w:rPr>
          <w:rFonts w:ascii="Palatino Linotype" w:hAnsi="Palatino Linotype" w:cs="Arial"/>
          <w:sz w:val="24"/>
          <w:szCs w:val="24"/>
          <w:lang w:val="es-MX"/>
        </w:rPr>
        <w:t>”.</w:t>
      </w:r>
      <w:r w:rsidRPr="007C07F1">
        <w:rPr>
          <w:rFonts w:ascii="Palatino Linotype" w:hAnsi="Palatino Linotype" w:cs="Arial"/>
          <w:vertAlign w:val="superscript"/>
          <w:lang w:val="es-MX"/>
        </w:rPr>
        <w:footnoteReference w:id="3"/>
      </w:r>
    </w:p>
    <w:p w:rsidR="00440A27" w:rsidRPr="007C07F1" w:rsidRDefault="00440A27" w:rsidP="00440A27">
      <w:pPr>
        <w:spacing w:after="0" w:line="360" w:lineRule="auto"/>
        <w:ind w:left="426"/>
        <w:contextualSpacing/>
        <w:jc w:val="both"/>
        <w:rPr>
          <w:rFonts w:ascii="Palatino Linotype" w:hAnsi="Palatino Linotype" w:cs="Arial"/>
          <w:sz w:val="24"/>
          <w:szCs w:val="24"/>
          <w:lang w:val="es-MX"/>
        </w:rPr>
      </w:pPr>
    </w:p>
    <w:p w:rsidR="00440A27" w:rsidRPr="007C07F1" w:rsidRDefault="00440A27" w:rsidP="00440A27">
      <w:pPr>
        <w:numPr>
          <w:ilvl w:val="0"/>
          <w:numId w:val="1"/>
        </w:numPr>
        <w:spacing w:after="0" w:line="360" w:lineRule="auto"/>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lastRenderedPageBreak/>
        <w:t xml:space="preserve"> Por lo que restringir el derecho de acceso a la información pública del particular</w:t>
      </w:r>
      <w:r w:rsidRPr="007C07F1">
        <w:rPr>
          <w:rFonts w:ascii="Palatino Linotype" w:hAnsi="Palatino Linotype" w:cs="Arial"/>
          <w:b/>
          <w:sz w:val="24"/>
          <w:szCs w:val="24"/>
          <w:lang w:val="es-MX"/>
        </w:rPr>
        <w:t xml:space="preserve"> </w:t>
      </w:r>
      <w:r w:rsidRPr="007C07F1">
        <w:rPr>
          <w:rFonts w:ascii="Palatino Linotype" w:hAnsi="Palatino Linotype" w:cs="Arial"/>
          <w:sz w:val="24"/>
          <w:szCs w:val="24"/>
          <w:lang w:val="es-MX"/>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40A27" w:rsidRPr="007C07F1" w:rsidRDefault="00440A27" w:rsidP="00440A27">
      <w:pPr>
        <w:spacing w:after="0" w:line="360" w:lineRule="auto"/>
        <w:ind w:left="720"/>
        <w:contextualSpacing/>
        <w:jc w:val="both"/>
        <w:rPr>
          <w:rFonts w:ascii="Palatino Linotype" w:hAnsi="Palatino Linotype" w:cs="Arial"/>
          <w:sz w:val="24"/>
          <w:szCs w:val="24"/>
          <w:lang w:val="es-MX"/>
        </w:rPr>
      </w:pPr>
    </w:p>
    <w:p w:rsidR="00440A27" w:rsidRPr="007C07F1" w:rsidRDefault="00440A27" w:rsidP="00440A27">
      <w:pPr>
        <w:numPr>
          <w:ilvl w:val="0"/>
          <w:numId w:val="1"/>
        </w:numPr>
        <w:spacing w:after="0" w:line="360" w:lineRule="auto"/>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40A27" w:rsidRPr="007C07F1" w:rsidRDefault="00440A27" w:rsidP="00440A27">
      <w:pPr>
        <w:spacing w:line="360" w:lineRule="auto"/>
        <w:ind w:left="720"/>
        <w:contextualSpacing/>
        <w:jc w:val="both"/>
        <w:rPr>
          <w:rFonts w:ascii="Palatino Linotype" w:hAnsi="Palatino Linotype" w:cs="Arial"/>
          <w:sz w:val="24"/>
          <w:szCs w:val="24"/>
          <w:lang w:val="es-MX"/>
        </w:rPr>
      </w:pPr>
    </w:p>
    <w:p w:rsidR="00440A27" w:rsidRPr="007C07F1" w:rsidRDefault="00440A27" w:rsidP="00440A27">
      <w:pPr>
        <w:numPr>
          <w:ilvl w:val="0"/>
          <w:numId w:val="1"/>
        </w:numPr>
        <w:spacing w:after="0" w:line="360" w:lineRule="auto"/>
        <w:ind w:left="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lastRenderedPageBreak/>
        <w:t xml:space="preserve">Frente a esa realidad pasada, la reforma citada nos ubica completamente en nuevas condiciones bajo los criterios del Estado Constitucional de Derecho que nos debe conducir a valorar, junto con Sergio </w:t>
      </w:r>
      <w:proofErr w:type="spellStart"/>
      <w:r w:rsidRPr="007C07F1">
        <w:rPr>
          <w:rFonts w:ascii="Palatino Linotype" w:hAnsi="Palatino Linotype" w:cs="Arial"/>
          <w:sz w:val="24"/>
          <w:szCs w:val="24"/>
          <w:lang w:val="es-MX"/>
        </w:rPr>
        <w:t>Cotta</w:t>
      </w:r>
      <w:proofErr w:type="spellEnd"/>
      <w:r w:rsidRPr="007C07F1">
        <w:rPr>
          <w:rFonts w:ascii="Palatino Linotype" w:hAnsi="Palatino Linotype" w:cs="Arial"/>
          <w:sz w:val="24"/>
          <w:szCs w:val="24"/>
          <w:lang w:val="es-MX"/>
        </w:rPr>
        <w:t xml:space="preserve"> que “la obligatoriedad de la norma depende de la validez de su justificación, que es, por consiguiente el fundamento de aquella”,</w:t>
      </w:r>
      <w:r w:rsidRPr="007C07F1">
        <w:rPr>
          <w:rFonts w:ascii="Palatino Linotype" w:hAnsi="Palatino Linotype" w:cs="Arial"/>
          <w:vertAlign w:val="superscript"/>
          <w:lang w:val="es-MX"/>
        </w:rPr>
        <w:footnoteReference w:id="4"/>
      </w:r>
      <w:r w:rsidRPr="007C07F1">
        <w:rPr>
          <w:rFonts w:ascii="Palatino Linotype" w:hAnsi="Palatino Linotype" w:cs="Arial"/>
          <w:sz w:val="24"/>
          <w:szCs w:val="24"/>
          <w:lang w:val="es-MX"/>
        </w:rPr>
        <w:t xml:space="preserve"> y no puede existir validez en la aplicación de un criterio que propicia una riesgosa afectación al derecho de acceso a la información.</w:t>
      </w:r>
    </w:p>
    <w:p w:rsidR="00440A27" w:rsidRPr="007C07F1" w:rsidRDefault="00440A27" w:rsidP="00440A27">
      <w:pPr>
        <w:spacing w:line="360" w:lineRule="auto"/>
        <w:ind w:left="720"/>
        <w:contextualSpacing/>
        <w:jc w:val="both"/>
        <w:rPr>
          <w:rFonts w:ascii="Palatino Linotype" w:hAnsi="Palatino Linotype" w:cs="Arial"/>
          <w:sz w:val="24"/>
          <w:szCs w:val="24"/>
          <w:lang w:val="es-MX"/>
        </w:rPr>
      </w:pPr>
    </w:p>
    <w:p w:rsidR="00440A27" w:rsidRPr="007C07F1" w:rsidRDefault="00440A27" w:rsidP="00440A27">
      <w:pPr>
        <w:numPr>
          <w:ilvl w:val="0"/>
          <w:numId w:val="1"/>
        </w:numPr>
        <w:spacing w:after="0" w:line="360" w:lineRule="auto"/>
        <w:ind w:left="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7C07F1">
        <w:rPr>
          <w:rFonts w:ascii="Palatino Linotype" w:hAnsi="Palatino Linotype" w:cs="Arial"/>
          <w:b/>
          <w:sz w:val="24"/>
          <w:szCs w:val="24"/>
          <w:lang w:val="es-MX"/>
        </w:rPr>
        <w:t>el deber que tienen los órganos del Estado, dentro del margen de sus atribuciones, de prevenir violaciones a los derechos fundamentales,</w:t>
      </w:r>
      <w:r w:rsidRPr="007C07F1">
        <w:rPr>
          <w:rFonts w:ascii="Palatino Linotype" w:hAnsi="Palatino Linotype" w:cs="Arial"/>
          <w:sz w:val="24"/>
          <w:szCs w:val="24"/>
          <w:lang w:val="es-MX"/>
        </w:rPr>
        <w:t xml:space="preserve"> ya sea que </w:t>
      </w:r>
      <w:r w:rsidRPr="007C07F1">
        <w:rPr>
          <w:rFonts w:ascii="Palatino Linotype" w:hAnsi="Palatino Linotype" w:cs="Arial"/>
          <w:sz w:val="24"/>
          <w:szCs w:val="24"/>
          <w:lang w:val="es-MX"/>
        </w:rPr>
        <w:lastRenderedPageBreak/>
        <w:t xml:space="preserve">provengan de una autoridad o de algún particular y, por ello, </w:t>
      </w:r>
      <w:r w:rsidRPr="007C07F1">
        <w:rPr>
          <w:rFonts w:ascii="Palatino Linotype" w:hAnsi="Palatino Linotype" w:cs="Arial"/>
          <w:b/>
          <w:sz w:val="24"/>
          <w:szCs w:val="24"/>
          <w:lang w:val="es-MX"/>
        </w:rPr>
        <w:t>debe contarse</w:t>
      </w:r>
      <w:r w:rsidRPr="007C07F1">
        <w:rPr>
          <w:rFonts w:ascii="Palatino Linotype" w:hAnsi="Palatino Linotype" w:cs="Arial"/>
          <w:sz w:val="24"/>
          <w:szCs w:val="24"/>
          <w:lang w:val="es-MX"/>
        </w:rPr>
        <w:t xml:space="preserve"> tanto </w:t>
      </w:r>
      <w:r w:rsidRPr="007C07F1">
        <w:rPr>
          <w:rFonts w:ascii="Palatino Linotype" w:hAnsi="Palatino Linotype" w:cs="Arial"/>
          <w:b/>
          <w:sz w:val="24"/>
          <w:szCs w:val="24"/>
          <w:lang w:val="es-MX"/>
        </w:rPr>
        <w:t>con mecanismos</w:t>
      </w:r>
      <w:r w:rsidRPr="007C07F1">
        <w:rPr>
          <w:rFonts w:ascii="Palatino Linotype" w:hAnsi="Palatino Linotype" w:cs="Arial"/>
          <w:sz w:val="24"/>
          <w:szCs w:val="24"/>
          <w:lang w:val="es-MX"/>
        </w:rPr>
        <w:t xml:space="preserve"> de vigilancia como </w:t>
      </w:r>
      <w:r w:rsidRPr="007C07F1">
        <w:rPr>
          <w:rFonts w:ascii="Palatino Linotype" w:hAnsi="Palatino Linotype" w:cs="Arial"/>
          <w:b/>
          <w:sz w:val="24"/>
          <w:szCs w:val="24"/>
          <w:lang w:val="es-MX"/>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7C07F1">
        <w:rPr>
          <w:rFonts w:ascii="Palatino Linotype" w:hAnsi="Palatino Linotype" w:cs="Arial"/>
          <w:sz w:val="24"/>
          <w:szCs w:val="24"/>
          <w:lang w:val="es-MX"/>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40A27" w:rsidRPr="007C07F1" w:rsidRDefault="00440A27" w:rsidP="00440A27">
      <w:pPr>
        <w:spacing w:after="0" w:line="360" w:lineRule="auto"/>
        <w:ind w:left="426"/>
        <w:contextualSpacing/>
        <w:jc w:val="both"/>
        <w:rPr>
          <w:rFonts w:ascii="Palatino Linotype" w:hAnsi="Palatino Linotype" w:cs="Arial"/>
          <w:szCs w:val="24"/>
          <w:lang w:val="es-MX"/>
        </w:rPr>
      </w:pPr>
    </w:p>
    <w:p w:rsidR="00440A27" w:rsidRPr="007C07F1" w:rsidRDefault="00440A27" w:rsidP="00440A27">
      <w:pPr>
        <w:numPr>
          <w:ilvl w:val="0"/>
          <w:numId w:val="1"/>
        </w:numPr>
        <w:spacing w:after="0" w:line="360" w:lineRule="auto"/>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7C07F1">
        <w:rPr>
          <w:rFonts w:ascii="Palatino Linotype" w:hAnsi="Palatino Linotype" w:cs="Arial"/>
          <w:b/>
          <w:sz w:val="24"/>
          <w:szCs w:val="24"/>
          <w:lang w:val="es-MX"/>
        </w:rPr>
        <w:t>SUJETOS OBLIGADOS</w:t>
      </w:r>
      <w:r w:rsidRPr="007C07F1">
        <w:rPr>
          <w:rFonts w:ascii="Palatino Linotype" w:hAnsi="Palatino Linotype" w:cs="Arial"/>
          <w:sz w:val="24"/>
          <w:szCs w:val="24"/>
          <w:lang w:val="es-MX"/>
        </w:rPr>
        <w:t xml:space="preserve"> sea evidente la falta de alguno de ellos, en ese tenor los particulares se ven impedidos, en los hechos, a acceder a una </w:t>
      </w:r>
      <w:r w:rsidRPr="007C07F1">
        <w:rPr>
          <w:rFonts w:ascii="Palatino Linotype" w:hAnsi="Palatino Linotype" w:cs="Arial"/>
          <w:sz w:val="24"/>
          <w:szCs w:val="24"/>
          <w:lang w:val="es-MX"/>
        </w:rPr>
        <w:lastRenderedPageBreak/>
        <w:t>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440A27" w:rsidRPr="007C07F1" w:rsidRDefault="00440A27" w:rsidP="00440A27">
      <w:pPr>
        <w:pStyle w:val="Prrafodelista"/>
        <w:rPr>
          <w:rFonts w:ascii="Palatino Linotype" w:hAnsi="Palatino Linotype" w:cs="Arial"/>
          <w:lang w:val="es-MX"/>
        </w:rPr>
      </w:pPr>
    </w:p>
    <w:p w:rsidR="00440A27" w:rsidRPr="007C07F1" w:rsidRDefault="00440A27" w:rsidP="00440A27">
      <w:pPr>
        <w:numPr>
          <w:ilvl w:val="0"/>
          <w:numId w:val="1"/>
        </w:numPr>
        <w:spacing w:after="0" w:line="360" w:lineRule="auto"/>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7C07F1">
        <w:rPr>
          <w:rFonts w:ascii="Palatino Linotype" w:hAnsi="Palatino Linotype" w:cs="Arial"/>
          <w:sz w:val="24"/>
          <w:szCs w:val="24"/>
          <w:lang w:val="es-MX"/>
        </w:rPr>
        <w:t>procedibilidad</w:t>
      </w:r>
      <w:proofErr w:type="spellEnd"/>
      <w:r w:rsidRPr="007C07F1">
        <w:rPr>
          <w:rFonts w:ascii="Palatino Linotype" w:hAnsi="Palatino Linotype" w:cs="Arial"/>
          <w:sz w:val="24"/>
          <w:szCs w:val="24"/>
          <w:lang w:val="es-MX"/>
        </w:rPr>
        <w:t>, ya que en todo momento nos encontramos ante un derecho más alto que, puede considerarse en los siguientes términos:</w:t>
      </w:r>
    </w:p>
    <w:p w:rsidR="00440A27" w:rsidRPr="007C07F1" w:rsidRDefault="00440A27" w:rsidP="00440A27">
      <w:pPr>
        <w:spacing w:after="0" w:line="360" w:lineRule="auto"/>
        <w:ind w:left="284"/>
        <w:contextualSpacing/>
        <w:jc w:val="both"/>
        <w:rPr>
          <w:rFonts w:ascii="Palatino Linotype" w:hAnsi="Palatino Linotype" w:cs="Arial"/>
          <w:sz w:val="24"/>
          <w:szCs w:val="24"/>
          <w:lang w:val="es-MX"/>
        </w:rPr>
      </w:pPr>
    </w:p>
    <w:p w:rsidR="00440A27" w:rsidRPr="007C07F1" w:rsidRDefault="00440A27" w:rsidP="00440A27">
      <w:pPr>
        <w:spacing w:after="0" w:line="360" w:lineRule="auto"/>
        <w:ind w:left="567" w:right="618"/>
        <w:jc w:val="both"/>
        <w:rPr>
          <w:rFonts w:ascii="Palatino Linotype" w:hAnsi="Palatino Linotype" w:cs="Arial"/>
          <w:i/>
          <w:lang w:val="es-MX"/>
        </w:rPr>
      </w:pPr>
      <w:r w:rsidRPr="007C07F1">
        <w:rPr>
          <w:rFonts w:ascii="Palatino Linotype" w:hAnsi="Palatino Linotype" w:cs="Arial"/>
          <w:i/>
          <w:lang w:val="es-MX"/>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7C07F1">
        <w:rPr>
          <w:rFonts w:ascii="Palatino Linotype" w:hAnsi="Palatino Linotype" w:cs="Arial"/>
          <w:i/>
          <w:lang w:val="es-MX"/>
        </w:rPr>
        <w:t>ocasionalidad</w:t>
      </w:r>
      <w:proofErr w:type="spellEnd"/>
      <w:r w:rsidRPr="007C07F1">
        <w:rPr>
          <w:rFonts w:ascii="Palatino Linotype" w:hAnsi="Palatino Linotype" w:cs="Arial"/>
          <w:i/>
          <w:lang w:val="es-MX"/>
        </w:rPr>
        <w:t xml:space="preserve"> de las presiones sociales que se ejercen sobre el mismo”.</w:t>
      </w:r>
      <w:r w:rsidRPr="007C07F1">
        <w:rPr>
          <w:rFonts w:ascii="Palatino Linotype" w:hAnsi="Palatino Linotype" w:cs="Arial"/>
          <w:i/>
          <w:vertAlign w:val="superscript"/>
          <w:lang w:val="es-MX"/>
        </w:rPr>
        <w:footnoteReference w:id="5"/>
      </w:r>
    </w:p>
    <w:p w:rsidR="00440A27" w:rsidRPr="007C07F1" w:rsidRDefault="00440A27" w:rsidP="00440A27">
      <w:pPr>
        <w:spacing w:after="0" w:line="360" w:lineRule="auto"/>
        <w:ind w:left="1134" w:right="618"/>
        <w:jc w:val="both"/>
        <w:rPr>
          <w:rFonts w:ascii="Palatino Linotype" w:hAnsi="Palatino Linotype" w:cs="Arial"/>
          <w:i/>
          <w:lang w:val="es-MX"/>
        </w:rPr>
      </w:pPr>
    </w:p>
    <w:p w:rsidR="00440A27" w:rsidRPr="007C07F1" w:rsidRDefault="00440A27" w:rsidP="00440A27">
      <w:pPr>
        <w:numPr>
          <w:ilvl w:val="0"/>
          <w:numId w:val="1"/>
        </w:numPr>
        <w:spacing w:after="0" w:line="360" w:lineRule="auto"/>
        <w:ind w:left="426" w:hanging="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lastRenderedPageBreak/>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40A27" w:rsidRPr="007C07F1" w:rsidRDefault="00440A27" w:rsidP="00440A27">
      <w:pPr>
        <w:spacing w:after="0" w:line="360" w:lineRule="auto"/>
        <w:ind w:left="426"/>
        <w:contextualSpacing/>
        <w:jc w:val="both"/>
        <w:rPr>
          <w:rFonts w:ascii="Palatino Linotype" w:hAnsi="Palatino Linotype" w:cs="Arial"/>
          <w:sz w:val="24"/>
          <w:szCs w:val="24"/>
          <w:lang w:val="es-MX"/>
        </w:rPr>
      </w:pPr>
    </w:p>
    <w:p w:rsidR="00440A27" w:rsidRPr="007C07F1" w:rsidRDefault="00440A27" w:rsidP="00440A27">
      <w:pPr>
        <w:numPr>
          <w:ilvl w:val="0"/>
          <w:numId w:val="1"/>
        </w:numPr>
        <w:spacing w:line="360" w:lineRule="auto"/>
        <w:ind w:left="426" w:hanging="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w:t>
      </w:r>
      <w:r w:rsidRPr="007C07F1">
        <w:rPr>
          <w:rFonts w:ascii="Palatino Linotype" w:hAnsi="Palatino Linotype" w:cs="Arial"/>
          <w:sz w:val="24"/>
          <w:szCs w:val="24"/>
          <w:lang w:val="es-MX"/>
        </w:rPr>
        <w:lastRenderedPageBreak/>
        <w:t>cuando no se pronuncien al respecto, cuando sea evidente que no han sido colmados, en ese sentido no estaríamos garantizando el derecho fundamental.</w:t>
      </w:r>
    </w:p>
    <w:p w:rsidR="00440A27" w:rsidRPr="007C07F1" w:rsidRDefault="00440A27" w:rsidP="00440A27">
      <w:pPr>
        <w:spacing w:line="360" w:lineRule="auto"/>
        <w:ind w:left="720"/>
        <w:contextualSpacing/>
        <w:jc w:val="both"/>
        <w:rPr>
          <w:rFonts w:ascii="Palatino Linotype" w:hAnsi="Palatino Linotype" w:cs="Arial"/>
          <w:sz w:val="24"/>
          <w:szCs w:val="24"/>
          <w:lang w:val="es-MX"/>
        </w:rPr>
      </w:pPr>
    </w:p>
    <w:p w:rsidR="00440A27" w:rsidRPr="007C07F1" w:rsidRDefault="00440A27" w:rsidP="00440A27">
      <w:pPr>
        <w:numPr>
          <w:ilvl w:val="0"/>
          <w:numId w:val="1"/>
        </w:numPr>
        <w:spacing w:after="0" w:line="360" w:lineRule="auto"/>
        <w:ind w:left="426" w:hanging="426"/>
        <w:contextualSpacing/>
        <w:jc w:val="both"/>
        <w:rPr>
          <w:rFonts w:ascii="Palatino Linotype" w:hAnsi="Palatino Linotype" w:cs="Arial"/>
          <w:sz w:val="24"/>
          <w:szCs w:val="24"/>
          <w:lang w:val="es-MX"/>
        </w:rPr>
      </w:pPr>
      <w:r w:rsidRPr="007C07F1">
        <w:rPr>
          <w:rFonts w:ascii="Palatino Linotype" w:hAnsi="Palatino Linotype" w:cs="Arial"/>
          <w:sz w:val="24"/>
          <w:szCs w:val="24"/>
          <w:lang w:val="es-MX"/>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40A27" w:rsidRDefault="00440A27" w:rsidP="00440A27">
      <w:pPr>
        <w:spacing w:after="0" w:line="360" w:lineRule="auto"/>
        <w:ind w:left="426"/>
        <w:contextualSpacing/>
        <w:jc w:val="both"/>
        <w:rPr>
          <w:rFonts w:ascii="Palatino Linotype" w:hAnsi="Palatino Linotype" w:cs="Arial"/>
          <w:sz w:val="24"/>
          <w:szCs w:val="24"/>
          <w:lang w:val="es-MX"/>
        </w:rPr>
      </w:pPr>
    </w:p>
    <w:p w:rsidR="007C07F1" w:rsidRDefault="007C07F1" w:rsidP="00440A27">
      <w:pPr>
        <w:spacing w:after="0" w:line="360" w:lineRule="auto"/>
        <w:ind w:left="426"/>
        <w:contextualSpacing/>
        <w:jc w:val="both"/>
        <w:rPr>
          <w:rFonts w:ascii="Palatino Linotype" w:hAnsi="Palatino Linotype" w:cs="Arial"/>
          <w:sz w:val="24"/>
          <w:szCs w:val="24"/>
          <w:lang w:val="es-MX"/>
        </w:rPr>
      </w:pPr>
    </w:p>
    <w:p w:rsidR="007C07F1" w:rsidRDefault="007C07F1" w:rsidP="00440A27">
      <w:pPr>
        <w:spacing w:after="0" w:line="360" w:lineRule="auto"/>
        <w:ind w:left="426"/>
        <w:contextualSpacing/>
        <w:jc w:val="both"/>
        <w:rPr>
          <w:rFonts w:ascii="Palatino Linotype" w:hAnsi="Palatino Linotype" w:cs="Arial"/>
          <w:sz w:val="24"/>
          <w:szCs w:val="24"/>
          <w:lang w:val="es-MX"/>
        </w:rPr>
      </w:pPr>
    </w:p>
    <w:p w:rsidR="007C07F1" w:rsidRPr="007C07F1" w:rsidRDefault="007C07F1" w:rsidP="00440A27">
      <w:pPr>
        <w:spacing w:after="0" w:line="360" w:lineRule="auto"/>
        <w:ind w:left="426"/>
        <w:contextualSpacing/>
        <w:jc w:val="both"/>
        <w:rPr>
          <w:rFonts w:ascii="Palatino Linotype" w:hAnsi="Palatino Linotype" w:cs="Arial"/>
          <w:sz w:val="24"/>
          <w:szCs w:val="24"/>
          <w:lang w:val="es-MX"/>
        </w:rPr>
      </w:pPr>
    </w:p>
    <w:p w:rsidR="00440A27" w:rsidRPr="007C07F1" w:rsidRDefault="00440A27" w:rsidP="00440A27">
      <w:pPr>
        <w:spacing w:after="0" w:line="360" w:lineRule="auto"/>
        <w:jc w:val="center"/>
        <w:rPr>
          <w:rFonts w:ascii="Palatino Linotype" w:hAnsi="Palatino Linotype"/>
          <w:b/>
          <w:sz w:val="24"/>
          <w:szCs w:val="24"/>
          <w:lang w:val="es-MX"/>
        </w:rPr>
      </w:pPr>
      <w:r w:rsidRPr="007C07F1">
        <w:rPr>
          <w:rFonts w:ascii="Palatino Linotype" w:hAnsi="Palatino Linotype"/>
          <w:b/>
          <w:sz w:val="24"/>
          <w:szCs w:val="24"/>
          <w:lang w:val="es-MX"/>
        </w:rPr>
        <w:t>JOSÉ GUADALUPE LUNA HERNÁNDEZ</w:t>
      </w:r>
    </w:p>
    <w:p w:rsidR="00156E93" w:rsidRPr="007C07F1" w:rsidRDefault="00156E93" w:rsidP="00440A27">
      <w:pPr>
        <w:spacing w:after="0" w:line="360" w:lineRule="auto"/>
        <w:jc w:val="center"/>
        <w:rPr>
          <w:rFonts w:ascii="Palatino Linotype" w:hAnsi="Palatino Linotype"/>
          <w:b/>
          <w:sz w:val="24"/>
          <w:szCs w:val="24"/>
          <w:lang w:val="es-MX"/>
        </w:rPr>
      </w:pPr>
    </w:p>
    <w:p w:rsidR="00440A27" w:rsidRPr="007C07F1" w:rsidRDefault="00440A27" w:rsidP="00440A27">
      <w:pPr>
        <w:spacing w:line="360" w:lineRule="auto"/>
        <w:jc w:val="center"/>
        <w:rPr>
          <w:rFonts w:ascii="Palatino Linotype" w:hAnsi="Palatino Linotype"/>
          <w:lang w:val="es-MX"/>
        </w:rPr>
      </w:pPr>
      <w:r w:rsidRPr="007C07F1">
        <w:rPr>
          <w:rFonts w:ascii="Palatino Linotype" w:hAnsi="Palatino Linotype"/>
          <w:b/>
          <w:sz w:val="24"/>
          <w:szCs w:val="24"/>
          <w:lang w:val="es-MX"/>
        </w:rPr>
        <w:t>COMISIONADO</w:t>
      </w:r>
    </w:p>
    <w:p w:rsidR="00440A27" w:rsidRPr="007C07F1" w:rsidRDefault="00440A27" w:rsidP="00440A27">
      <w:pPr>
        <w:spacing w:line="360" w:lineRule="auto"/>
        <w:jc w:val="center"/>
        <w:rPr>
          <w:rFonts w:ascii="Palatino Linotype" w:hAnsi="Palatino Linotype"/>
          <w:b/>
          <w:sz w:val="24"/>
          <w:szCs w:val="24"/>
          <w:lang w:val="es-MX"/>
        </w:rPr>
      </w:pPr>
      <w:r w:rsidRPr="007C07F1">
        <w:rPr>
          <w:rFonts w:ascii="Palatino Linotype" w:hAnsi="Palatino Linotype"/>
          <w:b/>
          <w:sz w:val="24"/>
          <w:szCs w:val="24"/>
          <w:lang w:val="es-MX"/>
        </w:rPr>
        <w:t>(Rúbrica)</w:t>
      </w:r>
    </w:p>
    <w:p w:rsidR="007C07F1" w:rsidRDefault="007C07F1" w:rsidP="00440A27">
      <w:pPr>
        <w:spacing w:line="360" w:lineRule="auto"/>
        <w:rPr>
          <w:rFonts w:ascii="Palatino Linotype" w:hAnsi="Palatino Linotype"/>
          <w:b/>
          <w:lang w:val="es-MX"/>
        </w:rPr>
      </w:pPr>
    </w:p>
    <w:p w:rsidR="00440A27" w:rsidRDefault="00440A27" w:rsidP="00440A27">
      <w:pPr>
        <w:spacing w:line="360" w:lineRule="auto"/>
      </w:pPr>
      <w:r w:rsidRPr="007C07F1">
        <w:rPr>
          <w:rFonts w:ascii="Palatino Linotype" w:hAnsi="Palatino Linotype"/>
          <w:b/>
          <w:lang w:val="es-MX"/>
        </w:rPr>
        <w:t>JGLH/</w:t>
      </w:r>
      <w:r w:rsidR="007C07F1">
        <w:rPr>
          <w:rFonts w:ascii="Palatino Linotype" w:hAnsi="Palatino Linotype"/>
          <w:b/>
          <w:lang w:val="es-MX"/>
        </w:rPr>
        <w:t>MSA</w:t>
      </w:r>
      <w:r w:rsidRPr="007C07F1">
        <w:rPr>
          <w:rFonts w:ascii="Palatino Linotype" w:hAnsi="Palatino Linotype"/>
          <w:b/>
          <w:lang w:val="es-MX"/>
        </w:rPr>
        <w:t>.</w:t>
      </w:r>
    </w:p>
    <w:p w:rsidR="00440A27" w:rsidRDefault="00440A27" w:rsidP="00440A27"/>
    <w:p w:rsidR="005C18CA" w:rsidRPr="007C07F1" w:rsidRDefault="005C18CA" w:rsidP="007C07F1"/>
    <w:sectPr w:rsidR="005C18CA" w:rsidRPr="007C07F1" w:rsidSect="00DA55B8">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E2B" w:rsidRDefault="00E64E2B" w:rsidP="00440A27">
      <w:pPr>
        <w:spacing w:after="0" w:line="240" w:lineRule="auto"/>
      </w:pPr>
      <w:r>
        <w:separator/>
      </w:r>
    </w:p>
  </w:endnote>
  <w:endnote w:type="continuationSeparator" w:id="0">
    <w:p w:rsidR="00E64E2B" w:rsidRDefault="00E64E2B" w:rsidP="0044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64E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3E4E27">
            <w:pPr>
              <w:pStyle w:val="Piedepgina"/>
              <w:jc w:val="right"/>
            </w:pPr>
            <w:r w:rsidRPr="0052203D">
              <w:rPr>
                <w:rFonts w:ascii="Palatino Linotype" w:hAnsi="Palatino Linotype"/>
                <w:sz w:val="20"/>
                <w:szCs w:val="20"/>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670AF">
              <w:rPr>
                <w:rFonts w:ascii="Palatino Linotype" w:hAnsi="Palatino Linotype"/>
                <w:b/>
                <w:bCs/>
                <w:noProof/>
                <w:sz w:val="20"/>
                <w:szCs w:val="20"/>
              </w:rPr>
              <w:t>21</w:t>
            </w:r>
            <w:r w:rsidRPr="0052203D">
              <w:rPr>
                <w:rFonts w:ascii="Palatino Linotype" w:hAnsi="Palatino Linotype"/>
                <w:b/>
                <w:bCs/>
                <w:sz w:val="20"/>
                <w:szCs w:val="20"/>
              </w:rPr>
              <w:fldChar w:fldCharType="end"/>
            </w:r>
            <w:r w:rsidRPr="0052203D">
              <w:rPr>
                <w:rFonts w:ascii="Palatino Linotype" w:hAnsi="Palatino Linotype"/>
                <w:sz w:val="20"/>
                <w:szCs w:val="20"/>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670AF">
              <w:rPr>
                <w:rFonts w:ascii="Palatino Linotype" w:hAnsi="Palatino Linotype"/>
                <w:b/>
                <w:bCs/>
                <w:noProof/>
                <w:sz w:val="20"/>
                <w:szCs w:val="20"/>
              </w:rPr>
              <w:t>21</w:t>
            </w:r>
            <w:r w:rsidRPr="0052203D">
              <w:rPr>
                <w:rFonts w:ascii="Palatino Linotype" w:hAnsi="Palatino Linotype"/>
                <w:b/>
                <w:bCs/>
                <w:sz w:val="20"/>
                <w:szCs w:val="20"/>
              </w:rPr>
              <w:fldChar w:fldCharType="end"/>
            </w:r>
          </w:p>
        </w:sdtContent>
      </w:sdt>
    </w:sdtContent>
  </w:sdt>
  <w:p w:rsidR="00951E8B" w:rsidRDefault="00E64E2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E64E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E2B" w:rsidRDefault="00E64E2B" w:rsidP="00440A27">
      <w:pPr>
        <w:spacing w:after="0" w:line="240" w:lineRule="auto"/>
      </w:pPr>
      <w:r>
        <w:separator/>
      </w:r>
    </w:p>
  </w:footnote>
  <w:footnote w:type="continuationSeparator" w:id="0">
    <w:p w:rsidR="00E64E2B" w:rsidRDefault="00E64E2B" w:rsidP="00440A27">
      <w:pPr>
        <w:spacing w:after="0" w:line="240" w:lineRule="auto"/>
      </w:pPr>
      <w:r>
        <w:continuationSeparator/>
      </w:r>
    </w:p>
  </w:footnote>
  <w:footnote w:id="1">
    <w:p w:rsidR="00440A27" w:rsidRDefault="00440A27" w:rsidP="00440A27">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40A27" w:rsidRDefault="00440A27" w:rsidP="00440A27">
      <w:pPr>
        <w:pStyle w:val="Textonotapie"/>
      </w:pPr>
      <w:r>
        <w:rPr>
          <w:rStyle w:val="Refdenotaalpie"/>
        </w:rPr>
        <w:footnoteRef/>
      </w:r>
      <w:r>
        <w:t xml:space="preserve"> </w:t>
      </w:r>
      <w:r w:rsidRPr="00C775C0">
        <w:rPr>
          <w:i/>
        </w:rPr>
        <w:t>Ibídem</w:t>
      </w:r>
      <w:r>
        <w:t>. Pág. 3594.</w:t>
      </w:r>
    </w:p>
  </w:footnote>
  <w:footnote w:id="3">
    <w:p w:rsidR="00440A27" w:rsidRDefault="00440A27" w:rsidP="00440A27">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40A27" w:rsidRDefault="00440A27" w:rsidP="00440A27">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40A27" w:rsidRDefault="00440A27" w:rsidP="00440A27">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64E2B">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64E2B">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E64E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64E2B">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7202FA"/>
    <w:multiLevelType w:val="hybridMultilevel"/>
    <w:tmpl w:val="1DD6EC10"/>
    <w:lvl w:ilvl="0" w:tplc="E7E0261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27"/>
    <w:rsid w:val="00156E93"/>
    <w:rsid w:val="003E4E27"/>
    <w:rsid w:val="00440A27"/>
    <w:rsid w:val="004B73CF"/>
    <w:rsid w:val="004E6C32"/>
    <w:rsid w:val="005C18CA"/>
    <w:rsid w:val="005C338C"/>
    <w:rsid w:val="0063200A"/>
    <w:rsid w:val="007C07F1"/>
    <w:rsid w:val="00AC40AB"/>
    <w:rsid w:val="00BA47AC"/>
    <w:rsid w:val="00CB243B"/>
    <w:rsid w:val="00E06EDA"/>
    <w:rsid w:val="00E64E2B"/>
    <w:rsid w:val="00E670AF"/>
    <w:rsid w:val="00F847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62CA20E-2DA1-4FBD-852F-2E7252DC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27"/>
  </w:style>
  <w:style w:type="paragraph" w:styleId="Ttulo2">
    <w:name w:val="heading 2"/>
    <w:basedOn w:val="Normal"/>
    <w:next w:val="Normal"/>
    <w:link w:val="Ttulo2Car"/>
    <w:uiPriority w:val="9"/>
    <w:unhideWhenUsed/>
    <w:qFormat/>
    <w:rsid w:val="00156E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40A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0A27"/>
    <w:rPr>
      <w:sz w:val="20"/>
      <w:szCs w:val="20"/>
    </w:rPr>
  </w:style>
  <w:style w:type="paragraph" w:styleId="Piedepgina">
    <w:name w:val="footer"/>
    <w:basedOn w:val="Normal"/>
    <w:link w:val="PiedepginaCar"/>
    <w:uiPriority w:val="99"/>
    <w:semiHidden/>
    <w:unhideWhenUsed/>
    <w:rsid w:val="00440A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40A27"/>
  </w:style>
  <w:style w:type="paragraph" w:styleId="Encabezado">
    <w:name w:val="header"/>
    <w:basedOn w:val="Normal"/>
    <w:link w:val="EncabezadoCar"/>
    <w:uiPriority w:val="99"/>
    <w:semiHidden/>
    <w:unhideWhenUsed/>
    <w:rsid w:val="00440A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40A27"/>
  </w:style>
  <w:style w:type="character" w:styleId="Refdenotaalpie">
    <w:name w:val="footnote reference"/>
    <w:basedOn w:val="Fuentedeprrafopredeter"/>
    <w:uiPriority w:val="99"/>
    <w:unhideWhenUsed/>
    <w:rsid w:val="00440A27"/>
    <w:rPr>
      <w:vertAlign w:val="superscript"/>
    </w:rPr>
  </w:style>
  <w:style w:type="paragraph" w:styleId="Prrafodelista">
    <w:name w:val="List Paragraph"/>
    <w:basedOn w:val="Normal"/>
    <w:link w:val="PrrafodelistaCar"/>
    <w:uiPriority w:val="34"/>
    <w:qFormat/>
    <w:rsid w:val="00440A27"/>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locked/>
    <w:rsid w:val="00440A27"/>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156E93"/>
    <w:rPr>
      <w:rFonts w:asciiTheme="majorHAnsi" w:eastAsiaTheme="majorEastAsia" w:hAnsiTheme="majorHAnsi" w:cstheme="majorBidi"/>
      <w:color w:val="2E74B5" w:themeColor="accent1" w:themeShade="BF"/>
      <w:sz w:val="26"/>
      <w:szCs w:val="26"/>
    </w:rPr>
  </w:style>
  <w:style w:type="paragraph" w:styleId="TDC1">
    <w:name w:val="toc 1"/>
    <w:basedOn w:val="Normal"/>
    <w:next w:val="Normal"/>
    <w:autoRedefine/>
    <w:uiPriority w:val="39"/>
    <w:unhideWhenUsed/>
    <w:rsid w:val="007C07F1"/>
    <w:pPr>
      <w:spacing w:after="100"/>
    </w:pPr>
  </w:style>
  <w:style w:type="paragraph" w:styleId="TDC2">
    <w:name w:val="toc 2"/>
    <w:basedOn w:val="Normal"/>
    <w:next w:val="Normal"/>
    <w:autoRedefine/>
    <w:uiPriority w:val="39"/>
    <w:unhideWhenUsed/>
    <w:rsid w:val="007C07F1"/>
    <w:pPr>
      <w:spacing w:after="100"/>
      <w:ind w:left="220"/>
    </w:pPr>
  </w:style>
  <w:style w:type="character" w:styleId="Hipervnculo">
    <w:name w:val="Hyperlink"/>
    <w:basedOn w:val="Fuentedeprrafopredeter"/>
    <w:uiPriority w:val="99"/>
    <w:unhideWhenUsed/>
    <w:rsid w:val="007C07F1"/>
    <w:rPr>
      <w:color w:val="0563C1" w:themeColor="hyperlink"/>
      <w:u w:val="single"/>
    </w:rPr>
  </w:style>
  <w:style w:type="paragraph" w:styleId="Textodeglobo">
    <w:name w:val="Balloon Text"/>
    <w:basedOn w:val="Normal"/>
    <w:link w:val="TextodegloboCar"/>
    <w:uiPriority w:val="99"/>
    <w:semiHidden/>
    <w:unhideWhenUsed/>
    <w:rsid w:val="007C07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0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4256</Words>
  <Characters>23411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2018-08-20T22:16:00Z</cp:lastPrinted>
  <dcterms:created xsi:type="dcterms:W3CDTF">2018-11-06T19:05:00Z</dcterms:created>
  <dcterms:modified xsi:type="dcterms:W3CDTF">2018-11-06T19:09:00Z</dcterms:modified>
</cp:coreProperties>
</file>